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C32688" w:rsidRDefault="00C32688" w14:paraId="0E826AFE" w14:textId="54B928BD"/>
    <w:tbl>
      <w:tblPr>
        <w:tblW w:w="1098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57"/>
        <w:gridCol w:w="3697"/>
        <w:gridCol w:w="1801"/>
        <w:gridCol w:w="1932"/>
      </w:tblGrid>
      <w:tr w:rsidRPr="00700649" w:rsidR="004611EE" w:rsidTr="3D1E69F3" w14:paraId="72C0E50F" w14:textId="77777777">
        <w:trPr>
          <w:cantSplit/>
          <w:trHeight w:val="442" w:hRule="exact"/>
        </w:trPr>
        <w:tc>
          <w:tcPr>
            <w:tcW w:w="3557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/>
          </w:tcPr>
          <w:p w:rsidRPr="00700649" w:rsidR="004611EE" w:rsidP="009A72FF" w:rsidRDefault="00C32688" w14:paraId="086CA0E2" w14:textId="751B16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askerville Old Face" w:hAnsi="Baskerville Old Face" w:cs="Arial"/>
                <w:b/>
                <w:noProof/>
                <w:color w:val="333399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C8CB076" wp14:editId="6C5A95B3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272415</wp:posOffset>
                  </wp:positionV>
                  <wp:extent cx="1085850" cy="790575"/>
                  <wp:effectExtent l="19050" t="0" r="0" b="0"/>
                  <wp:wrapNone/>
                  <wp:docPr id="3" name="Picture 2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 flipH="0" flipV="0">
                            <a:off x="0" y="0"/>
                            <a:ext cx="1085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00649" w:rsidR="004611EE" w:rsidP="3B049483" w:rsidRDefault="00736E4E" w14:paraId="130C29F4" w14:textId="2AB1741D">
            <w:pPr>
              <w:pStyle w:val="NoSpacing"/>
              <w:spacing w:before="120" w:beforeAutospacing="off" w:after="12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</w:pPr>
            <w:r w:rsidRPr="3B049483" w:rsidR="0F39C6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Standard </w:t>
            </w:r>
            <w:r w:rsidRPr="3B049483" w:rsidR="76B474E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O</w:t>
            </w:r>
            <w:r w:rsidRPr="3B049483" w:rsidR="0F39C6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perating </w:t>
            </w:r>
            <w:r w:rsidRPr="3B049483" w:rsidR="4C143A4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P</w:t>
            </w:r>
            <w:r w:rsidRPr="3B049483" w:rsidR="0F39C6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rocedure for </w:t>
            </w:r>
            <w:r w:rsidRPr="3B049483" w:rsidR="2C0795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developing </w:t>
            </w:r>
            <w:r w:rsidRPr="3B049483" w:rsidR="332F01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non-NHS</w:t>
            </w:r>
            <w:r w:rsidRPr="3B049483" w:rsidR="62433E0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 areas </w:t>
            </w:r>
            <w:r w:rsidRPr="3B049483" w:rsidR="2C0795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to become </w:t>
            </w:r>
            <w:r w:rsidRPr="3B049483" w:rsidR="63A1BE1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a </w:t>
            </w:r>
            <w:r w:rsidRPr="3B049483" w:rsidR="2C0795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P</w:t>
            </w:r>
            <w:r w:rsidRPr="3B049483" w:rsidR="26249F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ractice </w:t>
            </w:r>
            <w:r w:rsidRPr="3B049483" w:rsidR="34BF252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Learning</w:t>
            </w:r>
            <w:r w:rsidRPr="3B049483" w:rsidR="1A82689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 xml:space="preserve"> </w:t>
            </w:r>
            <w:r w:rsidRPr="3B049483" w:rsidR="2C0795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E</w:t>
            </w:r>
            <w:r w:rsidRPr="3B049483" w:rsidR="6834FB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nvironment</w:t>
            </w:r>
            <w:r w:rsidRPr="3B049483" w:rsidR="0F39C6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  <w:t>.</w:t>
            </w:r>
          </w:p>
          <w:p w:rsidRPr="00700649" w:rsidR="004611EE" w:rsidP="649696BA" w:rsidRDefault="00736E4E" w14:paraId="4BFE2A48" w14:textId="6B83F6F3">
            <w:pPr>
              <w:pStyle w:val="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4611EE" w:rsidP="00B365B2" w:rsidRDefault="004611EE" w14:paraId="70A8EE3C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0649"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00649" w:rsidR="004611EE" w:rsidP="00742EFA" w:rsidRDefault="004611EE" w14:paraId="1BC86B16" w14:textId="3935B565">
            <w:pPr>
              <w:ind w:left="-1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AA9138B" w:rsidR="6CC2E4A4">
              <w:rPr>
                <w:rFonts w:ascii="Arial" w:hAnsi="Arial" w:cs="Arial"/>
                <w:sz w:val="24"/>
                <w:szCs w:val="24"/>
              </w:rPr>
              <w:t xml:space="preserve">   1.</w:t>
            </w:r>
            <w:r w:rsidRPr="2AA9138B" w:rsidR="22BEDF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Pr="00700649" w:rsidR="004611EE" w:rsidTr="3D1E69F3" w14:paraId="42E01429" w14:textId="77777777">
        <w:trPr>
          <w:cantSplit/>
          <w:trHeight w:val="563" w:hRule="exact"/>
        </w:trPr>
        <w:tc>
          <w:tcPr>
            <w:tcW w:w="3557" w:type="dxa"/>
            <w:vMerge/>
            <w:tcBorders/>
            <w:tcMar/>
          </w:tcPr>
          <w:p w:rsidRPr="00700649" w:rsidR="004611EE" w:rsidP="00B365B2" w:rsidRDefault="004611EE" w14:paraId="6D2067E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7" w:type="dxa"/>
            <w:vMerge/>
            <w:tcBorders/>
            <w:tcMar/>
          </w:tcPr>
          <w:p w:rsidRPr="00700649" w:rsidR="004611EE" w:rsidP="00B365B2" w:rsidRDefault="004611EE" w14:paraId="0F3E37A0" w14:textId="77777777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4611EE" w:rsidP="00B365B2" w:rsidRDefault="004611EE" w14:paraId="60E8A59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0649">
              <w:rPr>
                <w:rFonts w:ascii="Arial" w:hAnsi="Arial" w:cs="Arial"/>
                <w:sz w:val="24"/>
                <w:szCs w:val="24"/>
              </w:rPr>
              <w:t>Effective from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00649" w:rsidR="004611EE" w:rsidP="00B365B2" w:rsidRDefault="004611EE" w14:paraId="5825F2CA" w14:textId="3ABC4C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32536BB" w:rsidR="2042585C">
              <w:rPr>
                <w:rFonts w:ascii="Arial" w:hAnsi="Arial" w:cs="Arial"/>
                <w:sz w:val="24"/>
                <w:szCs w:val="24"/>
              </w:rPr>
              <w:t>December 2023</w:t>
            </w:r>
          </w:p>
        </w:tc>
      </w:tr>
      <w:tr w:rsidRPr="00700649" w:rsidR="004611EE" w:rsidTr="3D1E69F3" w14:paraId="559A831D" w14:textId="77777777">
        <w:trPr>
          <w:cantSplit/>
          <w:trHeight w:val="442" w:hRule="exact"/>
        </w:trPr>
        <w:tc>
          <w:tcPr>
            <w:tcW w:w="3557" w:type="dxa"/>
            <w:vMerge/>
            <w:tcBorders/>
            <w:tcMar/>
          </w:tcPr>
          <w:p w:rsidRPr="00700649" w:rsidR="004611EE" w:rsidP="00B365B2" w:rsidRDefault="004611EE" w14:paraId="29724E8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7" w:type="dxa"/>
            <w:vMerge/>
            <w:tcBorders/>
            <w:tcMar/>
          </w:tcPr>
          <w:p w:rsidRPr="00700649" w:rsidR="004611EE" w:rsidP="00B365B2" w:rsidRDefault="004611EE" w14:paraId="213A43AB" w14:textId="77777777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4611EE" w:rsidP="00B365B2" w:rsidRDefault="004611EE" w14:paraId="5342AF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700649">
              <w:rPr>
                <w:rFonts w:ascii="Arial" w:hAnsi="Arial" w:cs="Arial"/>
                <w:sz w:val="24"/>
                <w:szCs w:val="24"/>
              </w:rPr>
              <w:t>Review date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00649" w:rsidR="004611EE" w:rsidP="00B365B2" w:rsidRDefault="00736E4E" w14:paraId="404C991B" w14:textId="3DF4C9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32536BB" w:rsidR="29DA1E55">
              <w:rPr>
                <w:rFonts w:ascii="Arial" w:hAnsi="Arial" w:cs="Arial"/>
                <w:sz w:val="24"/>
                <w:szCs w:val="24"/>
              </w:rPr>
              <w:t>December 2024</w:t>
            </w:r>
          </w:p>
        </w:tc>
      </w:tr>
      <w:tr w:rsidRPr="00700649" w:rsidR="004611EE" w:rsidTr="3D1E69F3" w14:paraId="0768F11E" w14:textId="77777777">
        <w:trPr>
          <w:cantSplit/>
          <w:trHeight w:val="611" w:hRule="exact"/>
        </w:trPr>
        <w:tc>
          <w:tcPr>
            <w:tcW w:w="3557" w:type="dxa"/>
            <w:vMerge/>
            <w:tcBorders/>
            <w:tcMar/>
          </w:tcPr>
          <w:p w:rsidRPr="00700649" w:rsidR="004611EE" w:rsidP="00B365B2" w:rsidRDefault="004611EE" w14:paraId="23A4D55D" w14:textId="77777777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3697" w:type="dxa"/>
            <w:vMerge/>
            <w:tcBorders/>
            <w:tcMar/>
          </w:tcPr>
          <w:p w:rsidRPr="00700649" w:rsidR="004611EE" w:rsidP="00B365B2" w:rsidRDefault="004611EE" w14:paraId="059A24DC" w14:textId="77777777">
            <w:pPr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4611EE" w:rsidP="00B365B2" w:rsidRDefault="004611EE" w14:paraId="0584B7C2" w14:textId="77777777">
            <w:pPr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700649">
              <w:rPr>
                <w:rFonts w:ascii="Arial" w:hAnsi="Arial" w:cs="Arial"/>
                <w:sz w:val="24"/>
                <w:szCs w:val="24"/>
              </w:rPr>
              <w:t xml:space="preserve"> Author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00649" w:rsidR="004611EE" w:rsidP="00B365B2" w:rsidRDefault="00736E4E" w14:paraId="4F8A4AEB" w14:textId="3799BAE7">
            <w:pPr>
              <w:ind w:left="-1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AA9138B" w:rsidR="029CA53F">
              <w:rPr>
                <w:rFonts w:ascii="Arial" w:hAnsi="Arial" w:cs="Arial"/>
                <w:sz w:val="24"/>
                <w:szCs w:val="24"/>
              </w:rPr>
              <w:t>CHEFs</w:t>
            </w:r>
          </w:p>
        </w:tc>
      </w:tr>
      <w:tr w:rsidRPr="00700649" w:rsidR="004611EE" w:rsidTr="3D1E69F3" w14:paraId="65A5749D" w14:textId="77777777">
        <w:trPr>
          <w:cantSplit/>
          <w:trHeight w:val="646" w:hRule="exact"/>
        </w:trPr>
        <w:tc>
          <w:tcPr>
            <w:tcW w:w="3557" w:type="dxa"/>
            <w:vMerge/>
            <w:tcBorders/>
            <w:tcMar/>
          </w:tcPr>
          <w:p w:rsidRPr="00700649" w:rsidR="004611EE" w:rsidP="004611EE" w:rsidRDefault="004611EE" w14:paraId="5FF6B3E9" w14:textId="77777777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697" w:type="dxa"/>
            <w:vMerge/>
            <w:tcBorders/>
            <w:tcMar/>
            <w:vAlign w:val="center"/>
          </w:tcPr>
          <w:p w:rsidRPr="00700649" w:rsidR="004611EE" w:rsidP="004611EE" w:rsidRDefault="004611EE" w14:paraId="1660CB56" w14:textId="77777777">
            <w:pPr>
              <w:spacing w:after="0" w:line="240" w:lineRule="auto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4611EE" w:rsidP="004611EE" w:rsidRDefault="004611EE" w14:paraId="1A6565F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0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0649" w:rsidR="0029300E">
              <w:rPr>
                <w:rFonts w:ascii="Arial" w:hAnsi="Arial" w:cs="Arial"/>
                <w:sz w:val="24"/>
                <w:szCs w:val="24"/>
              </w:rPr>
              <w:t>Sign off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00649" w:rsidR="004611EE" w:rsidP="00A51192" w:rsidRDefault="004611EE" w14:paraId="3F060974" w14:textId="18676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3D1E69F3" w:rsidR="53A1737E">
              <w:rPr>
                <w:rFonts w:ascii="Arial" w:hAnsi="Arial" w:cs="Arial"/>
                <w:sz w:val="24"/>
                <w:szCs w:val="24"/>
              </w:rPr>
              <w:t>TD</w:t>
            </w:r>
          </w:p>
        </w:tc>
      </w:tr>
    </w:tbl>
    <w:p w:rsidRPr="00700649" w:rsidR="004611EE" w:rsidP="004611EE" w:rsidRDefault="004611EE" w14:paraId="1777A43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700649" w:rsidR="004611EE" w:rsidP="004611EE" w:rsidRDefault="004611EE" w14:paraId="63E2E0F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82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7320"/>
      </w:tblGrid>
      <w:tr w:rsidRPr="00700649" w:rsidR="00102DDB" w:rsidTr="3D1E69F3" w14:paraId="43CFB746" w14:textId="77777777">
        <w:trPr>
          <w:trHeight w:val="801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102DDB" w:rsidP="3B049483" w:rsidRDefault="00102DDB" w14:paraId="11DE270D" w14:textId="77777777">
            <w:pPr>
              <w:pStyle w:val="Heading2"/>
              <w:tabs>
                <w:tab w:val="left" w:pos="7560"/>
                <w:tab w:val="left" w:pos="7740"/>
              </w:tabs>
              <w:rPr>
                <w:rFonts w:ascii="Arial" w:hAnsi="Arial" w:cs="Arial"/>
                <w:b w:val="0"/>
                <w:bCs w:val="0"/>
                <w:i w:val="1"/>
                <w:iCs w:val="1"/>
                <w:sz w:val="28"/>
                <w:szCs w:val="28"/>
              </w:rPr>
            </w:pPr>
            <w:r w:rsidRPr="3B049483">
              <w:rPr>
                <w:rFonts w:ascii="Arial" w:hAnsi="Arial" w:cs="Arial"/>
                <w:smallCaps w:val="1"/>
                <w:sz w:val="28"/>
                <w:szCs w:val="28"/>
              </w:rPr>
              <w:br w:type="page"/>
            </w:r>
            <w:r w:rsidRPr="3B049483" w:rsidR="00102DDB">
              <w:rPr>
                <w:rFonts w:ascii="Arial" w:hAnsi="Arial" w:cs="Arial"/>
                <w:smallCaps w:val="1"/>
                <w:sz w:val="28"/>
                <w:szCs w:val="28"/>
              </w:rPr>
              <w:t>Aim</w:t>
            </w:r>
          </w:p>
          <w:p w:rsidRPr="00700649" w:rsidR="00102DDB" w:rsidP="3B049483" w:rsidRDefault="00102DDB" w14:paraId="128CC8BC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smallCaps w:val="1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102DDB" w:rsidP="3B049483" w:rsidRDefault="00EF2A5A" w14:paraId="3DFD91D0" w14:textId="6E3EB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Calibri" w:cs="Arial" w:eastAsiaTheme="minorAscii"/>
                <w:sz w:val="28"/>
                <w:szCs w:val="28"/>
              </w:rPr>
            </w:pPr>
            <w:r w:rsidRPr="3D1E69F3" w:rsidR="1AC99EFC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To engage with </w:t>
            </w:r>
            <w:r w:rsidRPr="3D1E69F3" w:rsidR="24D70968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clinical environments e.g. </w:t>
            </w:r>
            <w:r w:rsidRPr="3D1E69F3" w:rsidR="1AC99EFC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care homes to offer </w:t>
            </w:r>
            <w:r w:rsidRPr="3D1E69F3" w:rsidR="70D37988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Care Home Education Facilitator </w:t>
            </w:r>
            <w:r w:rsidRPr="3D1E69F3" w:rsidR="6E18234A">
              <w:rPr>
                <w:rFonts w:ascii="Arial" w:hAnsi="Arial" w:eastAsia="Calibri" w:cs="Arial" w:eastAsiaTheme="minorAscii"/>
                <w:sz w:val="28"/>
                <w:szCs w:val="28"/>
              </w:rPr>
              <w:t>(</w:t>
            </w:r>
            <w:r w:rsidRPr="3D1E69F3" w:rsidR="1AC99EFC">
              <w:rPr>
                <w:rFonts w:ascii="Arial" w:hAnsi="Arial" w:eastAsia="Calibri" w:cs="Arial" w:eastAsiaTheme="minorAscii"/>
                <w:sz w:val="28"/>
                <w:szCs w:val="28"/>
              </w:rPr>
              <w:t>CHEF</w:t>
            </w:r>
            <w:r w:rsidRPr="3D1E69F3" w:rsidR="4EC81870">
              <w:rPr>
                <w:rFonts w:ascii="Arial" w:hAnsi="Arial" w:eastAsia="Calibri" w:cs="Arial" w:eastAsiaTheme="minorAscii"/>
                <w:sz w:val="28"/>
                <w:szCs w:val="28"/>
              </w:rPr>
              <w:t>)</w:t>
            </w:r>
            <w:r w:rsidRPr="3D1E69F3" w:rsidR="1AC99EFC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support with learning, development</w:t>
            </w:r>
            <w:r w:rsidRPr="3D1E69F3" w:rsidR="168BFACF">
              <w:rPr>
                <w:rFonts w:ascii="Arial" w:hAnsi="Arial" w:eastAsia="Calibri" w:cs="Arial" w:eastAsiaTheme="minorAscii"/>
                <w:sz w:val="28"/>
                <w:szCs w:val="28"/>
              </w:rPr>
              <w:t>,</w:t>
            </w:r>
            <w:r w:rsidRPr="3D1E69F3" w:rsidR="1AC99EFC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and t</w:t>
            </w:r>
            <w:r w:rsidRPr="3D1E69F3" w:rsidR="2879655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o achieve </w:t>
            </w:r>
            <w:r w:rsidRPr="3D1E69F3" w:rsidR="65906099">
              <w:rPr>
                <w:rFonts w:ascii="Arial" w:hAnsi="Arial" w:eastAsia="Calibri" w:cs="Arial" w:eastAsiaTheme="minorAscii"/>
                <w:sz w:val="28"/>
                <w:szCs w:val="28"/>
              </w:rPr>
              <w:t>uniformity</w:t>
            </w:r>
            <w:r w:rsidRPr="3D1E69F3" w:rsidR="2879655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</w:t>
            </w:r>
            <w:r w:rsidRPr="3D1E69F3" w:rsidR="58F12B0B">
              <w:rPr>
                <w:rFonts w:ascii="Arial" w:hAnsi="Arial" w:eastAsia="Calibri" w:cs="Arial" w:eastAsiaTheme="minorAscii"/>
                <w:sz w:val="28"/>
                <w:szCs w:val="28"/>
              </w:rPr>
              <w:t>in</w:t>
            </w:r>
            <w:r w:rsidRPr="3D1E69F3" w:rsidR="2879655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developing 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Care </w:t>
            </w:r>
            <w:r w:rsidRPr="3D1E69F3" w:rsidR="508ABE55">
              <w:rPr>
                <w:rFonts w:ascii="Arial" w:hAnsi="Arial" w:eastAsia="Calibri" w:cs="Arial" w:eastAsiaTheme="minorAscii"/>
                <w:sz w:val="28"/>
                <w:szCs w:val="28"/>
              </w:rPr>
              <w:t>H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>ome</w:t>
            </w:r>
            <w:r w:rsidRPr="3D1E69F3" w:rsidR="79E2388D">
              <w:rPr>
                <w:rFonts w:ascii="Arial" w:hAnsi="Arial" w:eastAsia="Calibri" w:cs="Arial" w:eastAsiaTheme="minorAscii"/>
                <w:sz w:val="28"/>
                <w:szCs w:val="28"/>
              </w:rPr>
              <w:t>s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</w:t>
            </w:r>
            <w:r w:rsidRPr="3D1E69F3" w:rsidR="71C6A072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and similar areas 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to become </w:t>
            </w:r>
            <w:r w:rsidRPr="3D1E69F3" w:rsidR="41DFE3D4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a </w:t>
            </w:r>
            <w:r w:rsidRPr="3D1E69F3" w:rsidR="6385954D">
              <w:rPr>
                <w:rFonts w:ascii="Arial" w:hAnsi="Arial" w:eastAsia="Calibri" w:cs="Arial" w:eastAsiaTheme="minorAscii"/>
                <w:sz w:val="28"/>
                <w:szCs w:val="28"/>
              </w:rPr>
              <w:t>P</w:t>
            </w:r>
            <w:r w:rsidRPr="3D1E69F3" w:rsidR="1CC8CDB0">
              <w:rPr>
                <w:rFonts w:ascii="Arial" w:hAnsi="Arial" w:eastAsia="Calibri" w:cs="Arial" w:eastAsiaTheme="minorAscii"/>
                <w:sz w:val="28"/>
                <w:szCs w:val="28"/>
              </w:rPr>
              <w:t>ractice</w:t>
            </w:r>
            <w:r w:rsidRPr="3D1E69F3" w:rsidR="6385954D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</w:t>
            </w:r>
            <w:r w:rsidRPr="3D1E69F3" w:rsidR="728C7086">
              <w:rPr>
                <w:rFonts w:ascii="Arial" w:hAnsi="Arial" w:eastAsia="Calibri" w:cs="Arial" w:eastAsiaTheme="minorAscii"/>
                <w:sz w:val="28"/>
                <w:szCs w:val="28"/>
              </w:rPr>
              <w:t>L</w:t>
            </w:r>
            <w:r w:rsidRPr="3D1E69F3" w:rsidR="6385954D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earning </w:t>
            </w:r>
            <w:r w:rsidRPr="3D1E69F3" w:rsidR="10C69A6A">
              <w:rPr>
                <w:rFonts w:ascii="Arial" w:hAnsi="Arial" w:eastAsia="Calibri" w:cs="Arial" w:eastAsiaTheme="minorAscii"/>
                <w:sz w:val="28"/>
                <w:szCs w:val="28"/>
              </w:rPr>
              <w:t>E</w:t>
            </w:r>
            <w:r w:rsidRPr="3D1E69F3" w:rsidR="6385954D">
              <w:rPr>
                <w:rFonts w:ascii="Arial" w:hAnsi="Arial" w:eastAsia="Calibri" w:cs="Arial" w:eastAsiaTheme="minorAscii"/>
                <w:sz w:val="28"/>
                <w:szCs w:val="28"/>
              </w:rPr>
              <w:t>nvironments (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>PLE</w:t>
            </w:r>
            <w:r w:rsidRPr="3D1E69F3" w:rsidR="3D33A662">
              <w:rPr>
                <w:rFonts w:ascii="Arial" w:hAnsi="Arial" w:eastAsia="Calibri" w:cs="Arial" w:eastAsiaTheme="minorAscii"/>
                <w:sz w:val="28"/>
                <w:szCs w:val="28"/>
              </w:rPr>
              <w:t>)</w:t>
            </w:r>
            <w:r w:rsidRPr="3D1E69F3" w:rsidR="392B171A">
              <w:rPr>
                <w:rFonts w:ascii="Arial" w:hAnsi="Arial" w:eastAsia="Calibri" w:cs="Arial" w:eastAsiaTheme="minorAscii"/>
                <w:sz w:val="28"/>
                <w:szCs w:val="28"/>
              </w:rPr>
              <w:t>;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</w:t>
            </w:r>
            <w:r w:rsidRPr="3D1E69F3" w:rsidR="2D311DE5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ensuring standardised </w:t>
            </w:r>
            <w:r w:rsidRPr="3D1E69F3" w:rsidR="2D311DE5">
              <w:rPr>
                <w:rFonts w:ascii="Arial" w:hAnsi="Arial" w:eastAsia="Calibri" w:cs="Arial" w:eastAsiaTheme="minorAscii"/>
                <w:sz w:val="28"/>
                <w:szCs w:val="28"/>
              </w:rPr>
              <w:t>governance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to ensure 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>quality</w:t>
            </w:r>
            <w:r w:rsidRPr="3D1E69F3" w:rsidR="1185B4C1">
              <w:rPr>
                <w:rFonts w:ascii="Arial" w:hAnsi="Arial" w:eastAsia="Calibri" w:cs="Arial" w:eastAsiaTheme="minorAscii"/>
                <w:sz w:val="28"/>
                <w:szCs w:val="28"/>
              </w:rPr>
              <w:t xml:space="preserve"> of PLE’s</w:t>
            </w:r>
          </w:p>
        </w:tc>
      </w:tr>
      <w:tr w:rsidRPr="00700649" w:rsidR="00102DDB" w:rsidTr="3D1E69F3" w14:paraId="64E314C5" w14:textId="77777777"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102DDB" w:rsidP="3B049483" w:rsidRDefault="00102DDB" w14:paraId="12B6C2B0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>Statement</w:t>
            </w:r>
          </w:p>
          <w:p w:rsidRPr="00700649" w:rsidR="00102DDB" w:rsidP="3B049483" w:rsidRDefault="00102DDB" w14:paraId="08578DA4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i w:val="1"/>
                <w:iCs w:val="1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0644BA" w:rsidP="432536BB" w:rsidRDefault="78C58360" w14:paraId="21E18CCB" w14:textId="2334E9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3D1E69F3" w:rsidR="5F8D0870">
              <w:rPr>
                <w:rFonts w:ascii="Arial" w:hAnsi="Arial" w:cs="Arial"/>
                <w:sz w:val="28"/>
                <w:szCs w:val="28"/>
                <w:lang w:eastAsia="en-GB"/>
              </w:rPr>
              <w:t xml:space="preserve">Standard </w:t>
            </w:r>
            <w:r w:rsidRPr="3D1E69F3" w:rsidR="07EEB95A">
              <w:rPr>
                <w:rFonts w:ascii="Arial" w:hAnsi="Arial" w:cs="Arial"/>
                <w:sz w:val="28"/>
                <w:szCs w:val="28"/>
                <w:lang w:eastAsia="en-GB"/>
              </w:rPr>
              <w:t>O</w:t>
            </w:r>
            <w:r w:rsidRPr="3D1E69F3" w:rsidR="5F8D0870">
              <w:rPr>
                <w:rFonts w:ascii="Arial" w:hAnsi="Arial" w:cs="Arial"/>
                <w:sz w:val="28"/>
                <w:szCs w:val="28"/>
                <w:lang w:eastAsia="en-GB"/>
              </w:rPr>
              <w:t xml:space="preserve">perating </w:t>
            </w:r>
            <w:r w:rsidRPr="3D1E69F3" w:rsidR="31AE0F7E">
              <w:rPr>
                <w:rFonts w:ascii="Arial" w:hAnsi="Arial" w:cs="Arial"/>
                <w:sz w:val="28"/>
                <w:szCs w:val="28"/>
                <w:lang w:eastAsia="en-GB"/>
              </w:rPr>
              <w:t>P</w:t>
            </w:r>
            <w:r w:rsidRPr="3D1E69F3" w:rsidR="6DAD41FC">
              <w:rPr>
                <w:rFonts w:ascii="Arial" w:hAnsi="Arial" w:cs="Arial"/>
                <w:sz w:val="28"/>
                <w:szCs w:val="28"/>
                <w:lang w:eastAsia="en-GB"/>
              </w:rPr>
              <w:t>rocedure</w:t>
            </w:r>
            <w:r w:rsidRPr="3D1E69F3" w:rsidR="5F8D0870">
              <w:rPr>
                <w:rFonts w:ascii="Arial" w:hAnsi="Arial" w:cs="Arial"/>
                <w:sz w:val="28"/>
                <w:szCs w:val="28"/>
                <w:lang w:eastAsia="en-GB"/>
              </w:rPr>
              <w:t xml:space="preserve"> (</w:t>
            </w:r>
            <w:r w:rsidRPr="3D1E69F3" w:rsidR="41A9582E">
              <w:rPr>
                <w:rFonts w:ascii="Arial" w:hAnsi="Arial" w:cs="Arial"/>
                <w:sz w:val="28"/>
                <w:szCs w:val="28"/>
                <w:lang w:eastAsia="en-GB"/>
              </w:rPr>
              <w:t>SOP</w:t>
            </w:r>
            <w:r w:rsidRPr="3D1E69F3" w:rsidR="48291372">
              <w:rPr>
                <w:rFonts w:ascii="Arial" w:hAnsi="Arial" w:cs="Arial"/>
                <w:sz w:val="28"/>
                <w:szCs w:val="28"/>
                <w:lang w:eastAsia="en-GB"/>
              </w:rPr>
              <w:t>)</w:t>
            </w:r>
            <w:r w:rsidRPr="3D1E69F3" w:rsidR="41A9582E">
              <w:rPr>
                <w:rFonts w:ascii="Arial" w:hAnsi="Arial" w:cs="Arial"/>
                <w:sz w:val="28"/>
                <w:szCs w:val="28"/>
                <w:lang w:eastAsia="en-GB"/>
              </w:rPr>
              <w:t xml:space="preserve"> for</w:t>
            </w:r>
            <w:r w:rsidRPr="3D1E69F3" w:rsidR="67B6AD8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the </w:t>
            </w:r>
            <w:r w:rsidRPr="3D1E69F3" w:rsidR="4D27CA2C">
              <w:rPr>
                <w:rFonts w:ascii="Arial" w:hAnsi="Arial" w:cs="Arial"/>
                <w:sz w:val="28"/>
                <w:szCs w:val="28"/>
                <w:lang w:eastAsia="en-GB"/>
              </w:rPr>
              <w:t>P</w:t>
            </w:r>
            <w:r w:rsidRPr="3D1E69F3" w:rsidR="41A9582E">
              <w:rPr>
                <w:rFonts w:ascii="Arial" w:hAnsi="Arial" w:cs="Arial"/>
                <w:sz w:val="28"/>
                <w:szCs w:val="28"/>
                <w:lang w:eastAsia="en-GB"/>
              </w:rPr>
              <w:t xml:space="preserve">ractice </w:t>
            </w:r>
            <w:r w:rsidRPr="3D1E69F3" w:rsidR="175397F1">
              <w:rPr>
                <w:rFonts w:ascii="Arial" w:hAnsi="Arial" w:cs="Arial"/>
                <w:sz w:val="28"/>
                <w:szCs w:val="28"/>
                <w:lang w:eastAsia="en-GB"/>
              </w:rPr>
              <w:t>E</w:t>
            </w:r>
            <w:r w:rsidRPr="3D1E69F3" w:rsidR="41A9582E">
              <w:rPr>
                <w:rFonts w:ascii="Arial" w:hAnsi="Arial" w:cs="Arial"/>
                <w:sz w:val="28"/>
                <w:szCs w:val="28"/>
                <w:lang w:eastAsia="en-GB"/>
              </w:rPr>
              <w:t>ducation team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 xml:space="preserve"> when developing new </w:t>
            </w:r>
            <w:r w:rsidRPr="3D1E69F3" w:rsidR="71E38993">
              <w:rPr>
                <w:rFonts w:ascii="Arial" w:hAnsi="Arial" w:cs="Arial"/>
                <w:sz w:val="28"/>
                <w:szCs w:val="28"/>
                <w:lang w:eastAsia="en-GB"/>
              </w:rPr>
              <w:t>clinical environment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 xml:space="preserve"> PLE’s</w:t>
            </w:r>
            <w:r w:rsidRPr="3D1E69F3" w:rsidR="698680E1">
              <w:rPr>
                <w:rFonts w:ascii="Arial" w:hAnsi="Arial" w:cs="Arial"/>
                <w:sz w:val="28"/>
                <w:szCs w:val="28"/>
                <w:lang w:eastAsia="en-GB"/>
              </w:rPr>
              <w:t xml:space="preserve"> is</w:t>
            </w:r>
            <w:r w:rsidRPr="3D1E69F3" w:rsidR="5E92B29B">
              <w:rPr>
                <w:rFonts w:ascii="Arial" w:hAnsi="Arial" w:cs="Arial"/>
                <w:sz w:val="28"/>
                <w:szCs w:val="28"/>
                <w:lang w:eastAsia="en-GB"/>
              </w:rPr>
              <w:t xml:space="preserve"> to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>ensur</w:t>
            </w:r>
            <w:r w:rsidRPr="3D1E69F3" w:rsidR="2BD71563">
              <w:rPr>
                <w:rFonts w:ascii="Arial" w:hAnsi="Arial" w:cs="Arial"/>
                <w:sz w:val="28"/>
                <w:szCs w:val="28"/>
                <w:lang w:eastAsia="en-GB"/>
              </w:rPr>
              <w:t>e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 xml:space="preserve"> that </w:t>
            </w:r>
            <w:r w:rsidRPr="3D1E69F3" w:rsidR="0366C47D">
              <w:rPr>
                <w:rFonts w:ascii="Arial" w:hAnsi="Arial" w:cs="Arial"/>
                <w:sz w:val="28"/>
                <w:szCs w:val="28"/>
                <w:lang w:eastAsia="en-GB"/>
              </w:rPr>
              <w:t>standards and agreements</w:t>
            </w:r>
            <w:r w:rsidRPr="3D1E69F3" w:rsidR="12799C48">
              <w:rPr>
                <w:rFonts w:ascii="Arial" w:hAnsi="Arial" w:cs="Arial"/>
                <w:sz w:val="28"/>
                <w:szCs w:val="28"/>
                <w:lang w:eastAsia="en-GB"/>
              </w:rPr>
              <w:t xml:space="preserve"> that have been set out by the team and other stakeholders are being foll</w:t>
            </w:r>
            <w:r w:rsidRPr="3D1E69F3" w:rsidR="44D586D3">
              <w:rPr>
                <w:rFonts w:ascii="Arial" w:hAnsi="Arial" w:cs="Arial"/>
                <w:sz w:val="28"/>
                <w:szCs w:val="28"/>
                <w:lang w:eastAsia="en-GB"/>
              </w:rPr>
              <w:t>owed</w:t>
            </w:r>
            <w:r w:rsidRPr="3D1E69F3" w:rsidR="13752B94">
              <w:rPr>
                <w:rFonts w:ascii="Arial" w:hAnsi="Arial" w:cs="Arial"/>
                <w:sz w:val="28"/>
                <w:szCs w:val="28"/>
                <w:lang w:eastAsia="en-GB"/>
              </w:rPr>
              <w:t xml:space="preserve"> (NMC</w:t>
            </w:r>
            <w:r w:rsidRPr="3D1E69F3" w:rsidR="13752B94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1</w:t>
            </w:r>
            <w:r w:rsidRPr="3D1E69F3" w:rsidR="13752B94">
              <w:rPr>
                <w:rFonts w:ascii="Arial" w:hAnsi="Arial" w:cs="Arial"/>
                <w:sz w:val="28"/>
                <w:szCs w:val="28"/>
                <w:lang w:eastAsia="en-GB"/>
              </w:rPr>
              <w:t xml:space="preserve"> and NES</w:t>
            </w:r>
            <w:r w:rsidRPr="3D1E69F3" w:rsidR="13752B94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2</w:t>
            </w:r>
            <w:r w:rsidRPr="3D1E69F3" w:rsidR="13752B94">
              <w:rPr>
                <w:rFonts w:ascii="Arial" w:hAnsi="Arial" w:cs="Arial"/>
                <w:sz w:val="28"/>
                <w:szCs w:val="28"/>
                <w:lang w:eastAsia="en-GB"/>
              </w:rPr>
              <w:t>). This</w:t>
            </w:r>
            <w:r w:rsidRPr="3D1E69F3" w:rsidR="44D586D3">
              <w:rPr>
                <w:rFonts w:ascii="Arial" w:hAnsi="Arial" w:cs="Arial"/>
                <w:sz w:val="28"/>
                <w:szCs w:val="28"/>
                <w:lang w:eastAsia="en-GB"/>
              </w:rPr>
              <w:t xml:space="preserve"> SOP is not time limit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>ed as progression of new PLE development can vary</w:t>
            </w:r>
            <w:r w:rsidRPr="3D1E69F3" w:rsidR="37495830">
              <w:rPr>
                <w:rFonts w:ascii="Arial" w:hAnsi="Arial" w:cs="Arial"/>
                <w:sz w:val="28"/>
                <w:szCs w:val="28"/>
                <w:lang w:eastAsia="en-GB"/>
              </w:rPr>
              <w:t>,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but instead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>provide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>s</w:t>
            </w:r>
            <w:r w:rsidRPr="3D1E69F3" w:rsidR="3070F41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a simple step by step process </w:t>
            </w:r>
            <w:r w:rsidRPr="3D1E69F3" w:rsidR="4E684BDC">
              <w:rPr>
                <w:rFonts w:ascii="Arial" w:hAnsi="Arial" w:cs="Arial"/>
                <w:sz w:val="28"/>
                <w:szCs w:val="28"/>
                <w:lang w:eastAsia="en-GB"/>
              </w:rPr>
              <w:t>for developing care homes</w:t>
            </w:r>
            <w:r w:rsidRPr="3D1E69F3" w:rsidR="57A6BAD8">
              <w:rPr>
                <w:rFonts w:ascii="Arial" w:hAnsi="Arial" w:cs="Arial"/>
                <w:sz w:val="28"/>
                <w:szCs w:val="28"/>
                <w:lang w:eastAsia="en-GB"/>
              </w:rPr>
              <w:t xml:space="preserve">. </w:t>
            </w:r>
          </w:p>
        </w:tc>
      </w:tr>
      <w:tr w:rsidRPr="00700649" w:rsidR="00102DDB" w:rsidTr="3D1E69F3" w14:paraId="2D9C6918" w14:textId="77777777"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102DDB" w:rsidP="3B049483" w:rsidRDefault="00102DDB" w14:paraId="76A0BF47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>Requirements</w:t>
            </w:r>
          </w:p>
          <w:p w:rsidRPr="00700649" w:rsidR="00102DDB" w:rsidP="3B049483" w:rsidRDefault="00102DDB" w14:paraId="0FD6EE59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</w:p>
          <w:p w:rsidRPr="00700649" w:rsidR="00102DDB" w:rsidP="3B049483" w:rsidRDefault="00102DDB" w14:paraId="43828102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BD2129" w:rsidP="3B049483" w:rsidRDefault="00BD2129" w14:paraId="25044C1E" w14:textId="46FBF6A8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B049483" w:rsidR="38605A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All assessed 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Care </w:t>
            </w:r>
            <w:r w:rsidRPr="3B049483" w:rsidR="589F1E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nspectorate </w:t>
            </w:r>
            <w:r w:rsidRPr="3B049483" w:rsidR="771378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score</w:t>
            </w:r>
            <w:r w:rsidRPr="3B049483" w:rsidR="6D3DF2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B049483" w:rsidR="219BAA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are </w:t>
            </w:r>
            <w:r w:rsidRPr="3B049483" w:rsidR="219BAA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required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be 3 or Higher to 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initiate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 </w:t>
            </w:r>
            <w:r w:rsidRPr="3B049483" w:rsidR="3C0DE2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educational </w:t>
            </w:r>
            <w:r w:rsidRPr="3B049483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audit</w:t>
            </w:r>
            <w:r w:rsidRPr="3B049483" w:rsidR="75E5F1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</w:p>
          <w:p w:rsidRPr="00700649" w:rsidR="00BD2129" w:rsidP="432536BB" w:rsidRDefault="00BD2129" w14:paraId="3F498AE4" w14:textId="034BC2AA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</w:t>
            </w:r>
            <w:r w:rsidRPr="432536BB" w:rsidR="53BA92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ealth and 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432536BB" w:rsidR="27A283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ocial 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</w:t>
            </w:r>
            <w:r w:rsidRPr="432536BB" w:rsidR="2D7AFA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are 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432536BB" w:rsidR="007FD4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artnership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261C97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(HSCP) 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Chief </w:t>
            </w:r>
            <w:r w:rsidRPr="432536BB" w:rsidR="2225AA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urses </w:t>
            </w:r>
            <w:r w:rsidRPr="432536BB" w:rsidR="5CC7C9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must</w:t>
            </w:r>
            <w:r w:rsidRPr="432536BB" w:rsidR="29EDF1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be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contact</w:t>
            </w:r>
            <w:r w:rsidRPr="432536BB" w:rsidR="6D60FE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ed by </w:t>
            </w:r>
            <w:r w:rsidRPr="432536BB" w:rsidR="57A0C5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432536BB" w:rsidR="6D60FE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 to</w:t>
            </w:r>
            <w:r w:rsidRPr="432536BB" w:rsidR="6D60FE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2E5F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determine</w:t>
            </w:r>
            <w:r w:rsidRPr="432536BB" w:rsidR="2E5F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6D60FE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if approaching a new care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home in the first instance is 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appropriate</w:t>
            </w:r>
            <w:r w:rsidRPr="432536BB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  <w:r w:rsidRPr="432536BB" w:rsidR="5C034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This is achieved by outlining plans in the quarterly </w:t>
            </w:r>
            <w:hyperlink r:id="R2971c91255f549b2">
              <w:r w:rsidRPr="432536BB" w:rsidR="5C03492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Chief Nurse Report</w:t>
              </w:r>
            </w:hyperlink>
          </w:p>
          <w:p w:rsidRPr="00700649" w:rsidR="00BD2129" w:rsidP="3B049483" w:rsidRDefault="00BD2129" w14:paraId="63849C97" w14:textId="03A2CC1B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ind/>
              <w:rPr>
                <w:rFonts w:ascii="Arial" w:hAnsi="Arial" w:cs="Arial"/>
                <w:noProof w:val="0"/>
                <w:sz w:val="28"/>
                <w:szCs w:val="28"/>
                <w:highlight w:val="yellow"/>
                <w:lang w:eastAsia="en-GB"/>
              </w:rPr>
            </w:pPr>
            <w:r w:rsidRPr="416A86F4" w:rsidR="5900D0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 m</w:t>
            </w:r>
            <w:r w:rsidRPr="416A86F4" w:rsidR="6892D7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inimum of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one N</w:t>
            </w:r>
            <w:r w:rsidRPr="416A86F4" w:rsidR="6C898A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ursing </w:t>
            </w:r>
            <w:r w:rsidRPr="416A86F4" w:rsidR="16A93C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and Midwifery 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</w:t>
            </w:r>
            <w:r w:rsidRPr="416A86F4" w:rsidR="2CA995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ouncil (NMC)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registered </w:t>
            </w:r>
            <w:r w:rsidRPr="416A86F4" w:rsidR="7266C0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practitioner</w:t>
            </w:r>
            <w:r w:rsidRPr="416A86F4" w:rsidR="7266C0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or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king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withi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 the h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ome</w:t>
            </w:r>
            <w:r w:rsidRPr="416A86F4" w:rsidR="62CCDE9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  <w:r w:rsidRPr="416A86F4" w:rsidR="33F514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f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there are no </w:t>
            </w:r>
            <w:r w:rsidRPr="416A86F4" w:rsidR="7B42680A">
              <w:rPr>
                <w:rFonts w:ascii="Arial" w:hAnsi="Arial" w:cs="Arial"/>
                <w:sz w:val="28"/>
                <w:szCs w:val="28"/>
                <w:lang w:eastAsia="en-GB"/>
              </w:rPr>
              <w:t>suitably prepared practitioners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to undertake the </w:t>
            </w:r>
            <w:r w:rsidRPr="416A86F4" w:rsidR="66A7260D">
              <w:rPr>
                <w:rFonts w:ascii="Arial" w:hAnsi="Arial" w:cs="Arial"/>
                <w:sz w:val="28"/>
                <w:szCs w:val="28"/>
                <w:lang w:eastAsia="en-GB"/>
              </w:rPr>
              <w:t>P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ractice </w:t>
            </w:r>
            <w:r w:rsidRPr="416A86F4" w:rsidR="6C0F8154">
              <w:rPr>
                <w:rFonts w:ascii="Arial" w:hAnsi="Arial" w:cs="Arial"/>
                <w:sz w:val="28"/>
                <w:szCs w:val="28"/>
                <w:lang w:eastAsia="en-GB"/>
              </w:rPr>
              <w:t>A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ssessor </w:t>
            </w:r>
            <w:r w:rsidRPr="416A86F4" w:rsidR="18A1993E">
              <w:rPr>
                <w:rFonts w:ascii="Arial" w:hAnsi="Arial" w:cs="Arial"/>
                <w:sz w:val="28"/>
                <w:szCs w:val="28"/>
                <w:lang w:eastAsia="en-GB"/>
              </w:rPr>
              <w:t xml:space="preserve">(PA) 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role, 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>a</w:t>
            </w:r>
            <w:r w:rsidRPr="416A86F4" w:rsidR="72F835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long arm approach may be considered for the </w:t>
            </w:r>
            <w:r w:rsidRPr="416A86F4" w:rsidR="0464F4E8">
              <w:rPr>
                <w:rFonts w:ascii="Arial" w:hAnsi="Arial" w:cs="Arial"/>
                <w:sz w:val="28"/>
                <w:szCs w:val="28"/>
                <w:lang w:eastAsia="en-GB"/>
              </w:rPr>
              <w:t>P</w:t>
            </w:r>
            <w:r w:rsidRPr="416A86F4" w:rsidR="2A77962A">
              <w:rPr>
                <w:rFonts w:ascii="Arial" w:hAnsi="Arial" w:cs="Arial"/>
                <w:sz w:val="28"/>
                <w:szCs w:val="28"/>
                <w:lang w:eastAsia="en-GB"/>
              </w:rPr>
              <w:t>A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co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mp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onent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,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bu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 xml:space="preserve">t </w:t>
            </w:r>
            <w:r w:rsidRPr="416A86F4" w:rsidR="1AA82E5B">
              <w:rPr>
                <w:rFonts w:ascii="Arial" w:hAnsi="Arial" w:cs="Arial"/>
                <w:sz w:val="28"/>
                <w:szCs w:val="28"/>
                <w:lang w:eastAsia="en-GB"/>
              </w:rPr>
              <w:t xml:space="preserve">this 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proc</w:t>
            </w:r>
            <w:r w:rsidRPr="416A86F4" w:rsidR="33F51437">
              <w:rPr>
                <w:rFonts w:ascii="Arial" w:hAnsi="Arial" w:cs="Arial"/>
                <w:sz w:val="28"/>
                <w:szCs w:val="28"/>
                <w:lang w:eastAsia="en-GB"/>
              </w:rPr>
              <w:t>ess is not included in this SOP</w:t>
            </w:r>
            <w:r w:rsidRPr="416A86F4" w:rsidR="3380B6D8">
              <w:rPr>
                <w:rFonts w:ascii="Arial" w:hAnsi="Arial" w:cs="Arial"/>
                <w:sz w:val="28"/>
                <w:szCs w:val="28"/>
                <w:lang w:eastAsia="en-GB"/>
              </w:rPr>
              <w:t>.</w:t>
            </w:r>
          </w:p>
          <w:p w:rsidRPr="00700649" w:rsidR="00BD2129" w:rsidP="432536BB" w:rsidRDefault="00BD2129" w14:paraId="17DEC4D9" w14:textId="5076B02A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ind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432536BB" w:rsidR="677AB9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Tripartite arrangement for </w:t>
            </w:r>
            <w:r w:rsidRPr="432536BB" w:rsidR="460379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Educational</w:t>
            </w:r>
            <w:r w:rsidRPr="432536BB" w:rsidR="460379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3D592E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432536BB" w:rsidR="460379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udit </w:t>
            </w:r>
          </w:p>
          <w:p w:rsidRPr="00700649" w:rsidR="00BD2129" w:rsidP="432536BB" w:rsidRDefault="00BD2129" w14:paraId="28D9263B" w14:textId="507225F9">
            <w:pPr>
              <w:pStyle w:val="NoSpacing"/>
              <w:spacing w:before="120" w:beforeAutospacing="off" w:after="120" w:afterAutospacing="off" w:line="240" w:lineRule="auto"/>
              <w:ind w:left="720"/>
              <w:rPr>
                <w:rFonts w:ascii="Arial" w:hAnsi="Arial" w:cs="Arial"/>
                <w:sz w:val="28"/>
                <w:szCs w:val="28"/>
                <w:lang w:eastAsia="en-GB"/>
              </w:rPr>
            </w:pPr>
            <w:hyperlink r:id="R53e457ade313494a">
              <w:r w:rsidRPr="432536BB" w:rsidR="210EC4BF">
                <w:rPr>
                  <w:rStyle w:val="Hyperlink"/>
                  <w:rFonts w:ascii="Arial" w:hAnsi="Arial" w:cs="Arial"/>
                  <w:sz w:val="28"/>
                  <w:szCs w:val="28"/>
                  <w:lang w:eastAsia="en-GB"/>
                </w:rPr>
                <w:t>SOP for auditing a PLE</w:t>
              </w:r>
            </w:hyperlink>
          </w:p>
        </w:tc>
      </w:tr>
      <w:tr w:rsidRPr="00700649" w:rsidR="00102DDB" w:rsidTr="3D1E69F3" w14:paraId="0E9354AD" w14:textId="77777777"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102DDB" w:rsidP="3B049483" w:rsidRDefault="00102DDB" w14:paraId="64789861" w14:textId="3D77CF1A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>Pr</w:t>
            </w:r>
            <w:r w:rsidRPr="3B049483" w:rsidR="46CD2C3D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>ocess</w:t>
            </w:r>
          </w:p>
          <w:p w:rsidRPr="00700649" w:rsidR="00102DDB" w:rsidP="3B049483" w:rsidRDefault="00102DDB" w14:paraId="017AB934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</w:p>
          <w:p w:rsidRPr="00700649" w:rsidR="00102DDB" w:rsidP="3B049483" w:rsidRDefault="00102DDB" w14:paraId="5C1FABF2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</w:pP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 xml:space="preserve"> 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0644BA" w:rsidP="3B049483" w:rsidRDefault="000644BA" w14:paraId="35746CCA" w14:textId="7C52177E">
            <w:pPr>
              <w:pStyle w:val="NoSpacing"/>
              <w:spacing w:before="120" w:beforeAutospacing="off" w:after="12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B049483" w:rsidR="143BEA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Process for </w:t>
            </w:r>
            <w:r w:rsidRPr="3B049483" w:rsidR="008593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initial</w:t>
            </w:r>
            <w:r w:rsidRPr="3B049483" w:rsidR="008593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B049483" w:rsidR="1823E1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engagement</w:t>
            </w:r>
            <w:r w:rsidRPr="3B049483" w:rsidR="008593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of</w:t>
            </w:r>
            <w:r w:rsidRPr="3B049483" w:rsidR="143BEA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potential </w:t>
            </w:r>
            <w:r w:rsidRPr="3B049483" w:rsidR="4FB3928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non-NHS </w:t>
            </w:r>
            <w:r w:rsidRPr="3B049483" w:rsidR="143BEA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PLE’s.</w:t>
            </w:r>
          </w:p>
          <w:p w:rsidRPr="00700649" w:rsidR="000644BA" w:rsidP="3B049483" w:rsidRDefault="000644BA" w14:paraId="7298F386" w14:textId="3C3E618A">
            <w:pPr>
              <w:spacing w:before="120" w:beforeAutospacing="off" w:after="12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</w:p>
          <w:p w:rsidR="3B5DB32E" w:rsidP="3D1E69F3" w:rsidRDefault="3B5DB32E" w14:paraId="11E8E425" w14:textId="31C233B1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Initially contact Chief </w:t>
            </w:r>
            <w:r w:rsidRPr="3D1E69F3" w:rsidR="76C6B8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urse to advise of areas that CHEF is </w:t>
            </w:r>
            <w:r w:rsidRPr="3D1E69F3" w:rsidR="54C474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planning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to contact, await approval from Chief </w:t>
            </w:r>
            <w:r w:rsidRPr="3D1E69F3" w:rsidR="02495A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urse</w:t>
            </w:r>
            <w:r w:rsidRPr="3D1E69F3" w:rsidR="590DBF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, via the Chief Nurse </w:t>
            </w:r>
            <w:r w:rsidRPr="3D1E69F3" w:rsidR="590DBF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report, 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befo</w:t>
            </w:r>
            <w:r w:rsidRPr="3D1E69F3" w:rsidR="3B5DB3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 any approach.</w:t>
            </w:r>
          </w:p>
          <w:p w:rsidRPr="00700649" w:rsidR="000644BA" w:rsidP="3D1E69F3" w:rsidRDefault="000644BA" w14:paraId="787DC040" w14:textId="2EB342EB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Initial contact email sent to the </w:t>
            </w:r>
            <w:r w:rsidRPr="3D1E69F3" w:rsidR="16507D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clinical </w:t>
            </w:r>
            <w:r w:rsidRPr="3D1E69F3" w:rsidR="16507D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environment</w:t>
            </w:r>
            <w:r w:rsidRPr="3D1E69F3" w:rsidR="06EC2A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manager or </w:t>
            </w:r>
            <w:r w:rsidRPr="3D1E69F3" w:rsidR="1EE574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another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esignated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person.</w:t>
            </w:r>
            <w:r w:rsidRPr="3D1E69F3" w:rsidR="6F2F9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CHEF will engage at least </w:t>
            </w:r>
            <w:r w:rsidRPr="3D1E69F3" w:rsidR="461966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once per </w:t>
            </w:r>
            <w:r w:rsidRPr="3D1E69F3" w:rsidR="6F2F9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month</w:t>
            </w:r>
            <w:r w:rsidRPr="3D1E69F3" w:rsidR="6FB5B8F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3D1E69F3" w:rsidR="6F2F9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over a </w:t>
            </w:r>
            <w:r w:rsidRPr="3D1E69F3" w:rsidR="4B4E7AA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3-month</w:t>
            </w:r>
            <w:r w:rsidRPr="3D1E69F3" w:rsidR="6F2F93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pe</w:t>
            </w:r>
            <w:r w:rsidRPr="3D1E69F3" w:rsidR="7A775A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riod</w:t>
            </w:r>
            <w:r w:rsidRPr="3D1E69F3" w:rsidR="3E26AD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, until a response is </w:t>
            </w:r>
            <w:r w:rsidRPr="3D1E69F3" w:rsidR="3E26AD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received</w:t>
            </w:r>
            <w:r w:rsidRPr="3D1E69F3" w:rsidR="3E26AD7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</w:p>
          <w:p w:rsidR="143BEA5E" w:rsidP="3D1E69F3" w:rsidRDefault="143BEA5E" w14:paraId="13A18A13" w14:textId="482D49C2">
            <w:pPr>
              <w:pStyle w:val="NoSpacing"/>
              <w:numPr>
                <w:ilvl w:val="0"/>
                <w:numId w:val="44"/>
              </w:numPr>
              <w:suppressLineNumbers w:val="0"/>
              <w:bidi w:val="0"/>
              <w:spacing w:before="120" w:beforeAutospacing="off" w:after="12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highlight w:val="cyan"/>
                <w:lang w:val="en-GB"/>
              </w:rPr>
            </w:pP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If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</w:t>
            </w:r>
            <w:r w:rsidRPr="3D1E69F3" w:rsidR="51F99C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linical </w:t>
            </w:r>
            <w:r w:rsidRPr="3D1E69F3" w:rsidR="51F99C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environmen</w:t>
            </w:r>
            <w:r w:rsidRPr="3D1E69F3" w:rsidR="51F99C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managers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do</w:t>
            </w:r>
            <w:r w:rsidRPr="3D1E69F3" w:rsidR="44261E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not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respond 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with</w:t>
            </w:r>
            <w:r w:rsidRPr="3D1E69F3" w:rsidR="50B8004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this </w:t>
            </w:r>
            <w:r w:rsidRPr="3D1E69F3" w:rsidR="39A090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3-month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period, </w:t>
            </w:r>
            <w:r w:rsidRPr="3D1E69F3" w:rsidR="4A60B4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 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4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vertAlign w:val="superscript"/>
                <w:lang w:val="en-GB"/>
              </w:rPr>
              <w:t>th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contact </w:t>
            </w:r>
            <w:r w:rsidRPr="3D1E69F3" w:rsidR="76D68D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should be made 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asking if</w:t>
            </w:r>
            <w:r w:rsidRPr="3D1E69F3" w:rsidR="0951D6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environment would like to still be part of </w:t>
            </w:r>
            <w:r w:rsidRPr="3D1E69F3" w:rsidR="6550ED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 email distribution list.</w:t>
            </w:r>
            <w:r w:rsidRPr="3D1E69F3" w:rsidR="705D37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2FBC4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Add their email address to secure blind copy distribution list and update the </w:t>
            </w:r>
            <w:r w:rsidRPr="3D1E69F3" w:rsidR="67FA94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</w:t>
            </w:r>
            <w:r w:rsidRPr="3D1E69F3" w:rsidR="67FA94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2FBC4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capacit</w:t>
            </w:r>
            <w:r w:rsidRPr="3D1E69F3" w:rsidR="2FBC4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y</w:t>
            </w:r>
            <w:r w:rsidRPr="3D1E69F3" w:rsidR="2FBC4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spreadsheet </w:t>
            </w:r>
            <w:r w:rsidRPr="3D1E69F3" w:rsidR="1EB115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accordingly</w:t>
            </w:r>
            <w:r w:rsidRPr="3D1E69F3" w:rsidR="2FBC46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</w:p>
          <w:p w:rsidRPr="00700649" w:rsidR="000644BA" w:rsidP="3D1E69F3" w:rsidRDefault="000644BA" w14:paraId="0A29C030" w14:textId="055E140D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69D354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If there is n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20B4BF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response, CHEF should wait for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68C8FD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12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months</w:t>
            </w:r>
            <w:r w:rsidRPr="3D1E69F3" w:rsidR="1BE17D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0C08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from the </w:t>
            </w:r>
            <w:r w:rsidRPr="3D1E69F3" w:rsidR="70C08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initial</w:t>
            </w:r>
            <w:r w:rsidRPr="3D1E69F3" w:rsidR="70C08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contact date </w:t>
            </w:r>
            <w:r w:rsidRPr="3D1E69F3" w:rsidR="1BE17D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before </w:t>
            </w:r>
            <w:r w:rsidRPr="3D1E69F3" w:rsidR="1BE17D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re-approaching.</w:t>
            </w:r>
            <w:r w:rsidRPr="3D1E69F3" w:rsidR="1BE17D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2211A3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3D1E69F3" w:rsidR="1BE17D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CHEF </w:t>
            </w:r>
            <w:r w:rsidRPr="3D1E69F3" w:rsidR="7ABEA4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should</w:t>
            </w:r>
            <w:r w:rsidRPr="3D1E69F3" w:rsidR="69AA7E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2CD109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ote</w:t>
            </w:r>
            <w:r w:rsidRPr="3D1E69F3" w:rsidR="3F32D3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this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in </w:t>
            </w:r>
            <w:r w:rsidRPr="3D1E69F3" w:rsidR="178A87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their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calendar</w:t>
            </w:r>
            <w:r w:rsidRPr="3D1E69F3" w:rsidR="1D1273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/</w:t>
            </w:r>
            <w:r w:rsidRPr="3D1E69F3" w:rsidR="723E7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plann</w:t>
            </w:r>
            <w:r w:rsidRPr="3D1E69F3" w:rsidR="723E7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er/</w:t>
            </w:r>
            <w:r w:rsidRPr="3D1E69F3" w:rsidR="508EB5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CH</w:t>
            </w:r>
            <w:r w:rsidRPr="3D1E69F3" w:rsidR="508EB5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508EB5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capacit</w:t>
            </w:r>
            <w:r w:rsidRPr="3D1E69F3" w:rsidR="508EB5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y</w:t>
            </w:r>
            <w:r w:rsidRPr="3D1E69F3" w:rsidR="508EB5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23E7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107070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preadsheet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when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re-approach</w:t>
            </w:r>
            <w:r w:rsidRPr="3D1E69F3" w:rsidR="603063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  <w:r w:rsidRPr="3D1E69F3" w:rsidR="04297C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Chief Nurses will be kept </w:t>
            </w:r>
            <w:r w:rsidRPr="3D1E69F3" w:rsidR="04297C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up to date</w:t>
            </w:r>
            <w:r w:rsidRPr="3D1E69F3" w:rsidR="04297C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via the Chief Nurse reports. </w:t>
            </w:r>
          </w:p>
          <w:p w:rsidR="0FB915A2" w:rsidP="416A86F4" w:rsidRDefault="0FB915A2" w14:paraId="2B910CA5" w14:textId="7680496B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0FB915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CHEF will respond and re-engage at any </w:t>
            </w:r>
            <w:r w:rsidRPr="416A86F4" w:rsidR="0FB915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time, if</w:t>
            </w:r>
            <w:r w:rsidRPr="416A86F4" w:rsidR="0FB915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 home approaches </w:t>
            </w:r>
            <w:r w:rsidRPr="416A86F4" w:rsidR="1B00D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practice</w:t>
            </w:r>
            <w:r w:rsidRPr="416A86F4" w:rsidR="1B00DC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education</w:t>
            </w:r>
            <w:r w:rsidRPr="416A86F4" w:rsidR="0FB915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in this waiting period.</w:t>
            </w:r>
          </w:p>
          <w:p w:rsidR="54648C35" w:rsidP="3B049483" w:rsidRDefault="54648C35" w14:paraId="5BFB4FBC" w14:textId="6D116B9C">
            <w:pPr>
              <w:pStyle w:val="NoSpacing"/>
              <w:numPr>
                <w:ilvl w:val="0"/>
                <w:numId w:val="44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54648C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Activity progress</w:t>
            </w:r>
            <w:r w:rsidRPr="416A86F4" w:rsidR="751B1B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should be</w:t>
            </w:r>
            <w:r w:rsidRPr="416A86F4" w:rsidR="54648C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added to </w:t>
            </w:r>
            <w:r w:rsidRPr="416A86F4" w:rsidR="67ABEE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Chief </w:t>
            </w:r>
            <w:r w:rsidRPr="416A86F4" w:rsidR="54648C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416A86F4" w:rsidR="39ADF9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urse</w:t>
            </w:r>
            <w:r w:rsidRPr="416A86F4" w:rsidR="54648C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reports</w:t>
            </w:r>
          </w:p>
          <w:p w:rsidRPr="00700649" w:rsidR="000644BA" w:rsidP="3B049483" w:rsidRDefault="000644BA" w14:paraId="13E3A348" w14:textId="4FF0678F">
            <w:pPr>
              <w:pStyle w:val="NoSpacing"/>
              <w:spacing w:before="120" w:beforeAutospacing="off" w:after="120" w:afterAutospacing="off"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B049483" w:rsidR="143BEA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Process for engaging with potential PLE’s.</w:t>
            </w:r>
          </w:p>
          <w:p w:rsidRPr="00700649" w:rsidR="000644BA" w:rsidP="3D1E69F3" w:rsidRDefault="000644BA" w14:paraId="00512ADF" w14:textId="6AB805E5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057211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En</w:t>
            </w:r>
            <w:r w:rsidRPr="3D1E69F3" w:rsidR="49F95A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</w:t>
            </w:r>
            <w:r w:rsidRPr="3D1E69F3" w:rsidR="057211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age</w:t>
            </w:r>
            <w:r w:rsidRPr="3D1E69F3" w:rsidR="057211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with </w:t>
            </w:r>
            <w:r w:rsidRPr="3D1E69F3" w:rsidR="7672E1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manager </w:t>
            </w:r>
            <w:r w:rsidRPr="3D1E69F3" w:rsidR="7672E1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or dele</w:t>
            </w:r>
            <w:r w:rsidRPr="3D1E69F3" w:rsidR="7672E1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gated staff member</w:t>
            </w:r>
            <w:r w:rsidRPr="3D1E69F3" w:rsidR="057211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057211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via p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hone</w:t>
            </w:r>
            <w:r w:rsidRPr="3D1E69F3" w:rsidR="28089A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0C4D73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email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 or arrange visit or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481A02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MS T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eams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discuss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CHEF role, educational resources </w:t>
            </w:r>
            <w:r w:rsidRPr="3D1E69F3" w:rsidR="4F054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CHEFs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can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provi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de,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opportu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 f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pre</w:t>
            </w:r>
            <w:r w:rsidRPr="3D1E69F3" w:rsidR="53C0B2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-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rat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lea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rners to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be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placed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within the </w:t>
            </w:r>
            <w:r w:rsidRPr="3D1E69F3" w:rsidR="620E4E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environment</w:t>
            </w:r>
            <w:r w:rsidRPr="3D1E69F3" w:rsidR="3D2B99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  <w:r w:rsidRPr="3D1E69F3" w:rsidR="21DED6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Initially this may be Turas, revalidation, Flying Start etc. Not necessarily preparation to become a PLE.</w:t>
            </w:r>
          </w:p>
          <w:p w:rsidRPr="00700649" w:rsidR="000644BA" w:rsidP="3D1E69F3" w:rsidRDefault="000644BA" w14:paraId="7FF3AC6D" w14:textId="38C140A3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1E7CCD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The</w:t>
            </w:r>
            <w:r w:rsidRPr="3D1E69F3" w:rsidR="1E0698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3E8A6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</w:t>
            </w:r>
            <w:r w:rsidRPr="3D1E69F3" w:rsidR="4260AD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anager </w:t>
            </w:r>
            <w:r w:rsidRPr="3D1E69F3" w:rsidR="44640A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should</w:t>
            </w:r>
            <w:r w:rsidRPr="3D1E69F3" w:rsidR="4260AD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4260AD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dent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f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y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CE375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appropriate staf</w:t>
            </w:r>
            <w:r w:rsidRPr="3D1E69F3" w:rsidR="7CE375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f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become</w:t>
            </w:r>
            <w:r w:rsidRPr="3D1E69F3" w:rsidR="66CD3E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Practice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438740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upervisors </w:t>
            </w:r>
            <w:r w:rsidRPr="3D1E69F3" w:rsidR="7A2D3F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(PS)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and </w:t>
            </w:r>
            <w:r w:rsidRPr="3D1E69F3" w:rsidR="30D2ED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Practice </w:t>
            </w:r>
            <w:r w:rsidRPr="3D1E69F3" w:rsidR="248858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ssesso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5A1A81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03ED80B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(PA)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– </w:t>
            </w:r>
            <w:r w:rsidRPr="3D1E69F3" w:rsidR="2C1FBC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3D1E69F3" w:rsidR="33C00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CHEF </w:t>
            </w:r>
            <w:r w:rsidRPr="3D1E69F3" w:rsidR="54D506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should</w:t>
            </w:r>
            <w:r w:rsidRPr="3D1E69F3" w:rsidR="33C000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A4C9D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suggest to </w:t>
            </w:r>
            <w:r w:rsidRPr="3D1E69F3" w:rsidR="144D2A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3D1E69F3" w:rsidR="1A4C9D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manager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581485E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that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more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than </w:t>
            </w:r>
            <w:r w:rsidRPr="3D1E69F3" w:rsidR="3B885A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two members of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42466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staff</w:t>
            </w:r>
            <w:r w:rsidRPr="3D1E69F3" w:rsidR="342466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42466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would be preferable.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Those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identifie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must be </w:t>
            </w:r>
            <w:r w:rsidRPr="3D1E69F3" w:rsidR="31257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egistered health and social care staff</w:t>
            </w:r>
            <w:r w:rsidRPr="3D1E69F3" w:rsidR="66958B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;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those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49388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registered with the Nursing and Midwifery Council, those 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on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 supervisor part of the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0207FC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Scottish</w:t>
            </w:r>
            <w:r w:rsidRPr="3D1E69F3" w:rsidR="0C70FA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0246D1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ocial 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0F6DA9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ervices 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</w:t>
            </w:r>
            <w:r w:rsidRPr="3D1E69F3" w:rsidR="2A9E21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ouncil (SSSC)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BD36B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register or</w:t>
            </w:r>
            <w:r w:rsidRPr="3D1E69F3" w:rsidR="154115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42A4A3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registered with </w:t>
            </w:r>
            <w:r w:rsidRPr="3D1E69F3" w:rsidR="154115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the Health and Care Professions Council register</w:t>
            </w:r>
            <w:r w:rsidRPr="3D1E69F3" w:rsidR="7D4CFB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</w:p>
          <w:p w:rsidRPr="00700649" w:rsidR="000644BA" w:rsidP="3D1E69F3" w:rsidRDefault="000644BA" w14:paraId="636F2A34" w14:textId="73D9A430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Identified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staff 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should self-assess </w:t>
            </w:r>
            <w:hyperlink r:id="R4e95676ec7e0485d">
              <w:r w:rsidRPr="3D1E69F3" w:rsidR="528FA77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(</w:t>
              </w:r>
              <w:r w:rsidRPr="3D1E69F3" w:rsidR="1820F7A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 xml:space="preserve">Reflective self-assessment / </w:t>
              </w:r>
              <w:r w:rsidRPr="3D1E69F3" w:rsidR="1820F7A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self-declaration</w:t>
              </w:r>
              <w:r w:rsidRPr="3D1E69F3" w:rsidR="1820F7A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 xml:space="preserve"> form</w:t>
              </w:r>
              <w:r w:rsidRPr="3D1E69F3" w:rsidR="528FA772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)</w:t>
              </w:r>
            </w:hyperlink>
            <w:r w:rsidRPr="3D1E69F3" w:rsidR="528FA7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their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ow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ng ne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ds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67F56E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be supported to c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mp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le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te 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ap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</w:t>
            </w:r>
            <w:r w:rsidRPr="3D1E69F3" w:rsidR="1FAF8A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opriate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lea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rn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ing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n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d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evel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pment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to becom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 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/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7664A4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bookmarkStart w:name="_Int_Zb8z9TSW" w:id="50860056"/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</w:t>
            </w:r>
            <w:r w:rsidRPr="3D1E69F3" w:rsidR="326B8E7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uras</w:t>
            </w:r>
            <w:bookmarkEnd w:id="50860056"/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m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75F36A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ules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  <w:r w:rsidRPr="3D1E69F3" w:rsidR="103525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F </w:t>
            </w:r>
            <w:r w:rsidRPr="3D1E69F3" w:rsidR="38D224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should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ov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ongoing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su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pport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3B3102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staff </w:t>
            </w:r>
            <w:r w:rsidRPr="3D1E69F3" w:rsidR="7BA8E2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as they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v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5E3A1E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as</w:t>
            </w:r>
            <w:r w:rsidRPr="3D1E69F3" w:rsidR="5A6FA2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PS and/or PA. </w:t>
            </w:r>
            <w:r w:rsidRPr="3D1E69F3" w:rsidR="70DDCF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="18A9AE2C" w:rsidP="3D1E69F3" w:rsidRDefault="18A9AE2C" w14:paraId="2B53570E" w14:textId="5576FCE8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18A9AE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 support may include signposting</w:t>
            </w:r>
            <w:r w:rsidRPr="3D1E69F3" w:rsidR="18A9AE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3D1E69F3" w:rsidR="08E547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learning </w:t>
            </w:r>
            <w:r w:rsidRPr="3D1E69F3" w:rsidR="08E547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resour</w:t>
            </w:r>
            <w:r w:rsidRPr="3D1E69F3" w:rsidR="08E547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ces,</w:t>
            </w:r>
            <w:r w:rsidRPr="3D1E69F3" w:rsidR="18A9AE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workshops or teaching and is </w:t>
            </w:r>
            <w:r w:rsidRPr="3D1E69F3" w:rsidR="18A9AE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dependent</w:t>
            </w:r>
            <w:r w:rsidRPr="3D1E69F3" w:rsidR="18A9AE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on the needs and wishes of the individual care home.</w:t>
            </w:r>
          </w:p>
          <w:p w:rsidR="65480B59" w:rsidP="2AA9138B" w:rsidRDefault="65480B59" w14:paraId="30961A32" w14:textId="6F0A7C33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65480B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Anyone who was previously an NMC mentor and feels they have recent experience can complete the </w:t>
            </w:r>
            <w:hyperlink r:id="R8f48b3dafbe8405f">
              <w:r w:rsidRPr="432536BB" w:rsidR="65480B5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Transition Form</w:t>
              </w:r>
            </w:hyperlink>
            <w:r w:rsidRPr="432536BB" w:rsidR="65480B5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 to be able to fulfil the new roles.</w:t>
            </w:r>
          </w:p>
          <w:p w:rsidRPr="00700649" w:rsidR="000644BA" w:rsidP="3D1E69F3" w:rsidRDefault="000644BA" w14:paraId="521A7133" w14:textId="161B3685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3D1E69F3" w:rsidR="433EF6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Quality Management of Practice Learning Environments (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QMPLE</w:t>
            </w:r>
            <w:r w:rsidRPr="3D1E69F3" w:rsidR="0C222A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 profile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page needs</w:t>
            </w:r>
            <w:r w:rsidRPr="3D1E69F3" w:rsidR="5B1FAF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be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created. </w:t>
            </w:r>
            <w:r w:rsidRPr="3D1E69F3" w:rsidR="4C5D4B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If required CHEFs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73B5CE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can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re-populate the QMPLE profile and Q</w:t>
            </w:r>
            <w:r w:rsidRPr="3D1E69F3" w:rsidR="711073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uality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3D1E69F3" w:rsidR="153AE7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tandards for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</w:t>
            </w:r>
            <w:r w:rsidRPr="3D1E69F3" w:rsidR="0C986E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ractice 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</w:t>
            </w:r>
            <w:r w:rsidRPr="3D1E69F3" w:rsidR="31DB7F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earning (QSPL) due to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care home manager time constraints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3D1E69F3" w:rsidR="1E8B2D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after which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manager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s/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le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ad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contact</w:t>
            </w:r>
            <w:r w:rsidRPr="3D1E69F3" w:rsidR="28AFC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 can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add </w:t>
            </w:r>
            <w:r w:rsidRPr="3D1E69F3" w:rsidR="7E2345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to or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amend this. </w:t>
            </w:r>
            <w:r w:rsidRPr="3D1E69F3" w:rsidR="7E00D6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Practice Education Role (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PER</w:t>
            </w:r>
            <w:r w:rsidRPr="3D1E69F3" w:rsidR="15C2B5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</w:t>
            </w:r>
            <w:r w:rsidRPr="3D1E69F3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users need a work email.</w:t>
            </w:r>
          </w:p>
          <w:p w:rsidR="639AF0AC" w:rsidP="432536BB" w:rsidRDefault="639AF0AC" w14:paraId="27D16083" w14:textId="37433E46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639AF0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CHEF teaches PER how to use </w:t>
            </w:r>
            <w:r w:rsidRPr="432536BB" w:rsidR="29D2F4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and navigate </w:t>
            </w:r>
            <w:r w:rsidRPr="432536BB" w:rsidR="639AF0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QMPLE</w:t>
            </w:r>
            <w:r w:rsidRPr="432536BB" w:rsidR="6FA6EE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432536BB" w:rsidR="639AF0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</w:t>
            </w:r>
            <w:r w:rsidRPr="432536BB" w:rsidR="56C97C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access</w:t>
            </w:r>
            <w:r w:rsidRPr="432536BB" w:rsidR="639AF0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02B9A4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Student Practice Learning Environment Feedback (SPLEF). </w:t>
            </w:r>
          </w:p>
          <w:p w:rsidRPr="00700649" w:rsidR="000644BA" w:rsidP="416A86F4" w:rsidRDefault="000644BA" w14:paraId="69404CD3" w14:textId="12CB39C9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1BEFC1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CHEFs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156E61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are required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to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visit</w:t>
            </w:r>
            <w:r w:rsidRPr="416A86F4" w:rsidR="07BF66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07BF66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frequently</w:t>
            </w:r>
            <w:r w:rsidRPr="416A86F4" w:rsidR="07BF66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</w:t>
            </w:r>
            <w:r w:rsidRPr="416A86F4" w:rsidR="04BA7E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to use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email and phone to encourage and support staff to complete the Turas learning units</w:t>
            </w:r>
            <w:r w:rsidRPr="416A86F4" w:rsidR="615A6E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or </w:t>
            </w:r>
            <w:r w:rsidRPr="416A86F4" w:rsidR="1DA290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to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initiate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teaching or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worksh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ops </w:t>
            </w:r>
            <w:r w:rsidRPr="416A86F4" w:rsidR="46AEC5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as per new project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commencing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7A496D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J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an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2024</w:t>
            </w:r>
            <w:r w:rsidRPr="416A86F4" w:rsidR="712A3E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These</w:t>
            </w:r>
            <w:r w:rsidRPr="416A86F4" w:rsidR="629E10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Turas modules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are a library of resources and</w:t>
            </w:r>
            <w:r w:rsidRPr="416A86F4" w:rsidR="74C0D4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74C0D4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are not required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be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completed</w:t>
            </w:r>
            <w:r w:rsidRPr="416A86F4" w:rsidR="4A4247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where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16A86F4" w:rsidR="227CBF7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staff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already have 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appropriate knowledge</w:t>
            </w:r>
            <w:r w:rsidRPr="416A86F4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skills.</w:t>
            </w:r>
          </w:p>
          <w:p w:rsidR="2C484ECD" w:rsidP="432536BB" w:rsidRDefault="2C484ECD" w14:paraId="08DE9D1A" w14:textId="777565C8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2CFF23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Once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staff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244C2C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self-declare</w:t>
            </w:r>
            <w:r w:rsidRPr="432536BB" w:rsidR="12B82C4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, </w:t>
            </w:r>
            <w:r w:rsidRPr="432536BB" w:rsidR="7D18C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using the </w:t>
            </w:r>
            <w:r w:rsidRPr="432536BB" w:rsidR="112FD00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</w:t>
            </w:r>
            <w:r w:rsidRPr="432536BB" w:rsidR="7D18C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est of </w:t>
            </w:r>
            <w:r w:rsidRPr="432536BB" w:rsidR="21AE4B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432536BB" w:rsidR="7D18C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cotland</w:t>
            </w:r>
            <w:r w:rsidRPr="432536BB" w:rsidR="7D18C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self-</w:t>
            </w:r>
            <w:r w:rsidRPr="432536BB" w:rsidR="5F084A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declaration</w:t>
            </w:r>
            <w:r w:rsidRPr="432536BB" w:rsidR="7D18C8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form</w:t>
            </w:r>
            <w:r w:rsidRPr="432536BB" w:rsidR="5A79DD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hyperlink r:id="R9ed00160a02b49d2">
              <w:r w:rsidRPr="432536BB" w:rsidR="24FA519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(Reflective self-assessment / self-declaration form)</w:t>
              </w:r>
            </w:hyperlink>
            <w:r w:rsidRPr="432536BB" w:rsidR="11CAEA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37C105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that they are now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sufficiently prepared then they are added </w:t>
            </w:r>
            <w:r w:rsidRPr="432536BB" w:rsidR="40ACE1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to QMPLE</w:t>
            </w:r>
            <w:r w:rsidRPr="432536BB" w:rsidR="602571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and the </w:t>
            </w:r>
            <w:hyperlink r:id="R4c7ef31cf60649ed">
              <w:r w:rsidRPr="432536BB" w:rsidR="143BEA5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PS</w:t>
              </w:r>
              <w:r w:rsidRPr="432536BB" w:rsidR="3C5672B5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/</w:t>
              </w:r>
              <w:r w:rsidRPr="432536BB" w:rsidR="143BEA5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PA prep</w:t>
              </w:r>
              <w:r w:rsidRPr="432536BB" w:rsidR="413CDA8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aration completers</w:t>
              </w:r>
              <w:r w:rsidRPr="432536BB" w:rsidR="143BEA5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 xml:space="preserve"> database</w:t>
              </w:r>
            </w:hyperlink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</w:p>
          <w:p w:rsidR="2C484ECD" w:rsidP="416A86F4" w:rsidRDefault="2C484ECD" w14:paraId="4F8CD5DC" w14:textId="4349E384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161A0D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Prepared</w:t>
            </w:r>
            <w:r w:rsidRPr="416A86F4" w:rsidR="138923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PA</w:t>
            </w:r>
            <w:r w:rsidRPr="416A86F4" w:rsidR="161A0D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names are added to QMPLE using false emails due to GDPR e.g. </w:t>
            </w:r>
            <w:hyperlink r:id="R7cf8db2f9f0f434a">
              <w:r w:rsidRPr="416A86F4" w:rsidR="161A0DC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JD@carehome.com</w:t>
              </w:r>
            </w:hyperlink>
            <w:r w:rsidRPr="416A86F4" w:rsidR="161A0D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. P</w:t>
            </w:r>
            <w:r w:rsidRPr="416A86F4" w:rsidR="7C395F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</w:t>
            </w:r>
            <w:r w:rsidRPr="416A86F4" w:rsidR="161A0D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names are not stored, only the number available in the PLE are added.</w:t>
            </w:r>
            <w:r w:rsidRPr="416A86F4" w:rsidR="161A0D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</w:p>
          <w:p w:rsidR="2C484ECD" w:rsidP="432536BB" w:rsidRDefault="2C484ECD" w14:paraId="2004AFF2" w14:textId="79B22C50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2C484EC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Educational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Audit and S</w:t>
            </w:r>
            <w:r w:rsidRPr="432536BB" w:rsidR="29F62A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ervice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L</w:t>
            </w:r>
            <w:r w:rsidRPr="432536BB" w:rsidR="1A3702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evel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</w:t>
            </w:r>
            <w:r w:rsidRPr="432536BB" w:rsidR="259972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greement (SLA)</w:t>
            </w:r>
            <w:r w:rsidRPr="432536BB" w:rsidR="783DEA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are completed</w:t>
            </w:r>
            <w:r w:rsidRPr="432536BB" w:rsidR="67157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as per normal processes</w:t>
            </w:r>
            <w:r w:rsidRPr="432536BB" w:rsidR="7F51C6B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outlined in their own relevant SOP’s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(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See </w:t>
            </w:r>
            <w:hyperlink r:id="R2077d04fd6c742ac">
              <w:r w:rsidRPr="432536BB" w:rsidR="143BEA5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GB"/>
                </w:rPr>
                <w:t>Educational Audit SOP</w:t>
              </w:r>
            </w:hyperlink>
            <w:r w:rsidRPr="432536BB" w:rsidR="6FFD4C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)</w:t>
            </w:r>
          </w:p>
          <w:p w:rsidR="1F6D49D3" w:rsidP="3B049483" w:rsidRDefault="1F6D49D3" w14:paraId="572AF633" w14:textId="630EE2B2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When staff</w:t>
            </w:r>
            <w:r w:rsidRPr="432536BB" w:rsidR="652B33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are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suitably prepared and </w:t>
            </w:r>
            <w:r w:rsidRPr="432536BB" w:rsidR="73F266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educational 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audit</w:t>
            </w:r>
            <w:r w:rsidRPr="432536BB" w:rsidR="1CC4EC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is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complete,</w:t>
            </w:r>
            <w:r w:rsidRPr="432536BB" w:rsidR="2C51B4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CHEF </w:t>
            </w:r>
            <w:r w:rsidRPr="432536BB" w:rsidR="08F48C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should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contact </w:t>
            </w:r>
            <w:r w:rsidRPr="432536BB" w:rsidR="1EFB44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allocation team</w:t>
            </w:r>
            <w:r w:rsidRPr="432536BB" w:rsidR="3CC4F7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 at the relevant Higher Education Institute (HEI)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discuss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when first allocation of students will take place</w:t>
            </w:r>
            <w:r w:rsidRPr="432536BB" w:rsidR="632CEF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The CHEF </w:t>
            </w:r>
            <w:r w:rsidRPr="432536BB" w:rsidR="1F6D49D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will share this information with care home staff.</w:t>
            </w:r>
          </w:p>
          <w:p w:rsidR="6453A8C7" w:rsidP="416A86F4" w:rsidRDefault="6453A8C7" w14:paraId="4C16A013" w14:textId="762C2B53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41F082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CHEFs to c</w:t>
            </w:r>
            <w:r w:rsidRPr="416A86F4" w:rsidR="6453A8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arry out a Practice Assessment Document (PAD) session/run through QSPL evidence. There is a risk of staff forgetting how to complete PAD if this is carried out too early.</w:t>
            </w:r>
          </w:p>
          <w:p w:rsidR="1C91F795" w:rsidP="432536BB" w:rsidRDefault="1C91F795" w14:paraId="4E3A5843" w14:textId="280589C5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1C91F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CHEF should visit on the week before the first students commence. Another PAD session may be required for staff who did not attend the first. </w:t>
            </w:r>
          </w:p>
          <w:p w:rsidR="1C91F795" w:rsidP="416A86F4" w:rsidRDefault="1C91F795" w14:paraId="4D185965" w14:textId="1AE1D462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1C91F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CHEF should visit on the first or second week of the student's </w:t>
            </w:r>
            <w:r w:rsidRPr="416A86F4" w:rsidR="1C91F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placement, </w:t>
            </w:r>
            <w:r w:rsidRPr="416A86F4" w:rsidR="1C91F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and again </w:t>
            </w:r>
            <w:r w:rsidRPr="416A86F4" w:rsidR="5D5989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mid-way</w:t>
            </w:r>
            <w:r w:rsidRPr="416A86F4" w:rsidR="1C91F7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to ensure there are no issues.</w:t>
            </w:r>
          </w:p>
          <w:p w:rsidRPr="00700649" w:rsidR="000644BA" w:rsidP="432536BB" w:rsidRDefault="000644BA" w14:paraId="77E10540" w14:textId="2E927444">
            <w:pPr>
              <w:pStyle w:val="NoSpacing"/>
              <w:numPr>
                <w:ilvl w:val="0"/>
                <w:numId w:val="45"/>
              </w:numPr>
              <w:spacing w:before="120" w:beforeAutospacing="off" w:after="12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If </w:t>
            </w:r>
            <w:r w:rsidRPr="432536BB" w:rsidR="3DF6A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the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care home stop responding</w:t>
            </w:r>
            <w:r w:rsidRPr="432536BB" w:rsidR="1AC8D8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mid process - ensure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x 3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emails / calls, then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stop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and note </w:t>
            </w:r>
            <w:r w:rsidRPr="432536BB" w:rsidR="6A30F5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this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on</w:t>
            </w:r>
            <w:r w:rsidRPr="432536BB" w:rsidR="2B8E5B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1D3027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relevant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</w:t>
            </w:r>
            <w:r w:rsidRPr="432536BB" w:rsidR="143BEA5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spreadsheet.</w:t>
            </w:r>
          </w:p>
        </w:tc>
      </w:tr>
      <w:tr w:rsidRPr="00700649" w:rsidR="00102DDB" w:rsidTr="3D1E69F3" w14:paraId="57D89A3A" w14:textId="77777777"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700649" w:rsidR="00102DDB" w:rsidP="3B049483" w:rsidRDefault="00102DDB" w14:paraId="45241E08" w14:textId="77777777">
            <w:pPr>
              <w:tabs>
                <w:tab w:val="left" w:pos="7560"/>
                <w:tab w:val="left" w:pos="7740"/>
              </w:tabs>
              <w:rPr>
                <w:rFonts w:ascii="Arial" w:hAnsi="Arial" w:cs="Arial"/>
                <w:b w:val="1"/>
                <w:bCs w:val="1"/>
                <w:i w:val="1"/>
                <w:iCs w:val="1"/>
                <w:sz w:val="28"/>
                <w:szCs w:val="28"/>
              </w:rPr>
            </w:pP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>additional</w:t>
            </w:r>
            <w:r w:rsidRPr="3B049483" w:rsidR="00102DDB">
              <w:rPr>
                <w:rFonts w:ascii="Arial" w:hAnsi="Arial" w:cs="Arial"/>
                <w:b w:val="1"/>
                <w:bCs w:val="1"/>
                <w:smallCaps w:val="1"/>
                <w:sz w:val="28"/>
                <w:szCs w:val="28"/>
              </w:rPr>
              <w:t xml:space="preserve"> considerations</w:t>
            </w:r>
          </w:p>
        </w:tc>
        <w:tc>
          <w:tcPr>
            <w:tcW w:w="7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649" w:rsidR="00700649" w:rsidP="416A86F4" w:rsidRDefault="00BD2129" w14:paraId="0175A163" w14:textId="20B3DB34">
            <w:pPr>
              <w:pStyle w:val="NoSpacing"/>
              <w:spacing w:before="120" w:beforeAutospacing="off" w:after="12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06B78B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If a home has </w:t>
            </w:r>
            <w:r w:rsidRPr="416A86F4" w:rsidR="06B78B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indicated</w:t>
            </w:r>
            <w:r w:rsidRPr="416A86F4" w:rsidR="06B78B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interest in having student nurses but is not in a suitable position to do so when enquiring, CHEFs should agree a timescale with the contact person to contact them again for an update on their position.</w:t>
            </w:r>
            <w:r w:rsidRPr="416A86F4" w:rsidR="3DC3B7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CHEF can offer educational sessions and keep them on their mailing list with consent.</w:t>
            </w:r>
          </w:p>
          <w:p w:rsidRPr="00700649" w:rsidR="00700649" w:rsidP="416A86F4" w:rsidRDefault="00BD2129" w14:paraId="15A0E0B1" w14:textId="16F431FA">
            <w:pPr>
              <w:pStyle w:val="NoSpacing"/>
              <w:spacing w:before="120" w:beforeAutospacing="off" w:after="120" w:afterAutospacing="off" w:line="276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</w:pPr>
            <w:r w:rsidRPr="416A86F4" w:rsidR="5A016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Where a manager </w:t>
            </w:r>
            <w:r w:rsidRPr="416A86F4" w:rsidR="303714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contacts</w:t>
            </w:r>
            <w:r w:rsidRPr="416A86F4" w:rsidR="5A016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 CHEF out with the </w:t>
            </w:r>
            <w:r w:rsidRPr="416A86F4" w:rsidR="71922E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initial</w:t>
            </w:r>
            <w:r w:rsidRPr="416A86F4" w:rsidR="71922E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non-engagement </w:t>
            </w:r>
            <w:r w:rsidRPr="416A86F4" w:rsidR="71922E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time frame</w:t>
            </w:r>
            <w:r w:rsidRPr="416A86F4" w:rsidR="5A016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,</w:t>
            </w:r>
            <w:r w:rsidRPr="416A86F4" w:rsidR="5A016D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the CHEF will engage the </w:t>
            </w:r>
            <w:r w:rsidRPr="416A86F4" w:rsidR="123FBC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care home as per </w:t>
            </w:r>
            <w:r w:rsidRPr="416A86F4" w:rsidR="3305E7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initial</w:t>
            </w:r>
            <w:r w:rsidRPr="416A86F4" w:rsidR="3305E7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 engagement process</w:t>
            </w:r>
            <w:r w:rsidRPr="416A86F4" w:rsidR="456F3C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 xml:space="preserve">. </w:t>
            </w:r>
          </w:p>
        </w:tc>
      </w:tr>
    </w:tbl>
    <w:p w:rsidRPr="00700649" w:rsidR="00AB2DD2" w:rsidP="00AB2DD2" w:rsidRDefault="00AB2DD2" w14:paraId="2BA17831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6DB99DB9" w:rsidP="432536BB" w:rsidRDefault="6DB99DB9" w14:paraId="74BAC644" w14:textId="11FEDA3A">
      <w:pPr>
        <w:pStyle w:val="Normal"/>
        <w:spacing w:after="0" w:line="240" w:lineRule="auto"/>
        <w:rPr>
          <w:rFonts w:ascii="Arial" w:hAnsi="Arial" w:cs="Arial"/>
          <w:sz w:val="24"/>
          <w:szCs w:val="24"/>
        </w:rPr>
      </w:pPr>
    </w:p>
    <w:p w:rsidR="3B049483" w:rsidP="3B049483" w:rsidRDefault="3B049483" w14:paraId="7D900FE0" w14:textId="2EFCF2CB">
      <w:pPr>
        <w:pStyle w:val="Normal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3B049483" w:rsidP="432536BB" w:rsidRDefault="3B049483" w14:paraId="39E3789C" w14:textId="36B0AF5B">
      <w:pPr>
        <w:spacing w:after="12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432536BB" w:rsidR="29A75E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GB"/>
        </w:rPr>
        <w:t>References</w:t>
      </w:r>
    </w:p>
    <w:p w:rsidR="3B049483" w:rsidP="432536BB" w:rsidRDefault="3B049483" w14:paraId="246AF058" w14:textId="7A6E917E">
      <w:pPr>
        <w:pStyle w:val="ListParagraph"/>
        <w:numPr>
          <w:ilvl w:val="0"/>
          <w:numId w:val="47"/>
        </w:numPr>
        <w:spacing w:after="12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GB"/>
        </w:rPr>
      </w:pPr>
      <w:r w:rsidRPr="432536BB" w:rsidR="29A75E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595f7c0f843d433b">
        <w:r w:rsidRPr="432536BB" w:rsidR="29A75E9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SSSA - The Nursing and Midwifery Council (nmc.org.uk)</w:t>
        </w:r>
      </w:hyperlink>
    </w:p>
    <w:p w:rsidR="3B049483" w:rsidP="432536BB" w:rsidRDefault="3B049483" w14:paraId="12CC5215" w14:textId="4147DC8C">
      <w:pPr>
        <w:pStyle w:val="ListParagraph"/>
        <w:numPr>
          <w:ilvl w:val="0"/>
          <w:numId w:val="47"/>
        </w:numPr>
        <w:spacing w:after="120" w:line="259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32536BB" w:rsidR="29A75E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eac66f986ef7494d">
        <w:r w:rsidRPr="432536BB" w:rsidR="29A75E9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Quality Standards for Practice Learning (QSPL) (scot.nhs.uk)</w:t>
        </w:r>
      </w:hyperlink>
    </w:p>
    <w:p w:rsidR="3B049483" w:rsidP="432536BB" w:rsidRDefault="3B049483" w14:paraId="6FD57240" w14:textId="070E2956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GB"/>
        </w:rPr>
      </w:pPr>
      <w:r w:rsidRPr="432536BB" w:rsidR="29A75E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en-GB"/>
        </w:rPr>
        <w:t xml:space="preserve"> </w:t>
      </w:r>
      <w:hyperlink r:id="R0dc93e34fd6e4e17">
        <w:r w:rsidRPr="432536BB" w:rsidR="29A75E9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  <w:lang w:eastAsia="en-GB"/>
          </w:rPr>
          <w:t>SOP for auditing a PLE</w:t>
        </w:r>
      </w:hyperlink>
    </w:p>
    <w:p w:rsidR="3B049483" w:rsidP="432536BB" w:rsidRDefault="3B049483" w14:paraId="114F7340" w14:textId="07FB35E6">
      <w:pPr>
        <w:pStyle w:val="Normal"/>
        <w:spacing w:after="12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</w:p>
    <w:p w:rsidR="3B049483" w:rsidP="3B049483" w:rsidRDefault="3B049483" w14:paraId="602FD64E" w14:textId="1C005C3E">
      <w:pPr>
        <w:pStyle w:val="Normal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sectPr w:rsidRPr="00700649" w:rsidR="00AB2DD2" w:rsidSect="004F706B">
      <w:headerReference w:type="even" r:id="rId12"/>
      <w:headerReference w:type="firs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C7" w:rsidP="00467F3B" w:rsidRDefault="00AF09C7" w14:paraId="6E54F19C" w14:textId="77777777">
      <w:pPr>
        <w:spacing w:after="0" w:line="240" w:lineRule="auto"/>
      </w:pPr>
      <w:r>
        <w:separator/>
      </w:r>
    </w:p>
  </w:endnote>
  <w:endnote w:type="continuationSeparator" w:id="0">
    <w:p w:rsidR="00AF09C7" w:rsidP="00467F3B" w:rsidRDefault="00AF09C7" w14:paraId="7FBA04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C7" w:rsidP="00467F3B" w:rsidRDefault="00AF09C7" w14:paraId="5B27612C" w14:textId="77777777">
      <w:pPr>
        <w:spacing w:after="0" w:line="240" w:lineRule="auto"/>
      </w:pPr>
      <w:r>
        <w:separator/>
      </w:r>
    </w:p>
  </w:footnote>
  <w:footnote w:type="continuationSeparator" w:id="0">
    <w:p w:rsidR="00AF09C7" w:rsidP="00467F3B" w:rsidRDefault="00AF09C7" w14:paraId="59876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B7" w:rsidRDefault="008E0908" w14:paraId="35692AB3" w14:textId="77777777">
    <w:pPr>
      <w:pStyle w:val="Header"/>
    </w:pPr>
    <w:r>
      <w:rPr>
        <w:noProof/>
      </w:rPr>
      <w:pict w14:anchorId="36B4A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170285" style="position:absolute;margin-left:0;margin-top:0;width:461.1pt;height:276.65pt;rotation:315;z-index:-251654144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6B7" w:rsidRDefault="008E0908" w14:paraId="44C7D6ED" w14:textId="77777777">
    <w:pPr>
      <w:pStyle w:val="Header"/>
    </w:pPr>
    <w:r>
      <w:rPr>
        <w:noProof/>
      </w:rPr>
      <w:pict w14:anchorId="4B91B2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1170284" style="position:absolute;margin-left:0;margin-top:0;width:461.1pt;height:276.65pt;rotation:315;z-index:-251656192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Zb8z9TSW" int2:invalidationBookmarkName="" int2:hashCode="I6LPsbM8s/BbiI" int2:id="BsjARDH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6">
    <w:nsid w:val="b10a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5d5258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dba8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0f64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62b87b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68f91459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8a89344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56f6dde2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29480b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059ce7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48efd7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55b94f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52177af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07bfb9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6a566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34662b6a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30f5c21e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9a31d2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18df9ca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68c752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93bd8b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1b6c7f7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fd941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509cd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66feee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01582d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780479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dccd5b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06629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A05FEF"/>
    <w:multiLevelType w:val="hybridMultilevel"/>
    <w:tmpl w:val="460476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75E"/>
    <w:multiLevelType w:val="hybridMultilevel"/>
    <w:tmpl w:val="366AC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F9007F6"/>
    <w:multiLevelType w:val="hybridMultilevel"/>
    <w:tmpl w:val="47FC0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DC064F"/>
    <w:multiLevelType w:val="hybridMultilevel"/>
    <w:tmpl w:val="2F5EB3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3C65CD"/>
    <w:multiLevelType w:val="hybridMultilevel"/>
    <w:tmpl w:val="90766B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63E2"/>
    <w:multiLevelType w:val="hybridMultilevel"/>
    <w:tmpl w:val="5AEED3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2192D"/>
    <w:multiLevelType w:val="hybridMultilevel"/>
    <w:tmpl w:val="F198EE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07436C"/>
    <w:multiLevelType w:val="hybridMultilevel"/>
    <w:tmpl w:val="91F61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250AA"/>
    <w:multiLevelType w:val="hybridMultilevel"/>
    <w:tmpl w:val="B46E5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E499A"/>
    <w:multiLevelType w:val="hybridMultilevel"/>
    <w:tmpl w:val="B35C69AA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5AC45790"/>
    <w:multiLevelType w:val="hybridMultilevel"/>
    <w:tmpl w:val="6298D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5FF91FAE"/>
    <w:multiLevelType w:val="hybridMultilevel"/>
    <w:tmpl w:val="36A239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652454CD"/>
    <w:multiLevelType w:val="hybridMultilevel"/>
    <w:tmpl w:val="F106F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6BA739A5"/>
    <w:multiLevelType w:val="hybridMultilevel"/>
    <w:tmpl w:val="6698410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D2373A"/>
    <w:multiLevelType w:val="hybridMultilevel"/>
    <w:tmpl w:val="3E4E9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66BBD"/>
    <w:multiLevelType w:val="hybridMultilevel"/>
    <w:tmpl w:val="F6A2459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FA5554B"/>
    <w:multiLevelType w:val="hybridMultilevel"/>
    <w:tmpl w:val="EE6AE0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E15B91"/>
    <w:multiLevelType w:val="hybridMultilevel"/>
    <w:tmpl w:val="1F8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16"/>
  </w:num>
  <w:num w:numId="7">
    <w:abstractNumId w:val="12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5"/>
  </w:num>
  <w:num w:numId="16">
    <w:abstractNumId w:val="14"/>
  </w:num>
  <w:num w:numId="17">
    <w:abstractNumId w:val="7"/>
  </w:num>
  <w:num w:numId="18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3B"/>
    <w:rsid w:val="0001423F"/>
    <w:rsid w:val="000644BA"/>
    <w:rsid w:val="0008208F"/>
    <w:rsid w:val="000B39CF"/>
    <w:rsid w:val="00102DDB"/>
    <w:rsid w:val="001557B9"/>
    <w:rsid w:val="0017401B"/>
    <w:rsid w:val="001A6DF4"/>
    <w:rsid w:val="001C3BEE"/>
    <w:rsid w:val="00221407"/>
    <w:rsid w:val="00275FA0"/>
    <w:rsid w:val="00277EEE"/>
    <w:rsid w:val="0029300E"/>
    <w:rsid w:val="002D65B7"/>
    <w:rsid w:val="003136A6"/>
    <w:rsid w:val="003D4805"/>
    <w:rsid w:val="003F255B"/>
    <w:rsid w:val="00413736"/>
    <w:rsid w:val="004476B7"/>
    <w:rsid w:val="00450BC0"/>
    <w:rsid w:val="004611EE"/>
    <w:rsid w:val="00467F3B"/>
    <w:rsid w:val="0047168B"/>
    <w:rsid w:val="0048076A"/>
    <w:rsid w:val="004856DD"/>
    <w:rsid w:val="00485B04"/>
    <w:rsid w:val="004872E5"/>
    <w:rsid w:val="004B30F9"/>
    <w:rsid w:val="004B5E93"/>
    <w:rsid w:val="004D2878"/>
    <w:rsid w:val="004D4BB8"/>
    <w:rsid w:val="004F706B"/>
    <w:rsid w:val="00502E9E"/>
    <w:rsid w:val="00515D89"/>
    <w:rsid w:val="005A33A2"/>
    <w:rsid w:val="005C5295"/>
    <w:rsid w:val="005F43C1"/>
    <w:rsid w:val="00635393"/>
    <w:rsid w:val="006724B4"/>
    <w:rsid w:val="006A0CA2"/>
    <w:rsid w:val="006C4B90"/>
    <w:rsid w:val="006CE3EE"/>
    <w:rsid w:val="00700649"/>
    <w:rsid w:val="00724EE1"/>
    <w:rsid w:val="00736E4E"/>
    <w:rsid w:val="00742D6F"/>
    <w:rsid w:val="00742EFA"/>
    <w:rsid w:val="007457E8"/>
    <w:rsid w:val="00771F02"/>
    <w:rsid w:val="007879A4"/>
    <w:rsid w:val="007A5B63"/>
    <w:rsid w:val="007B4986"/>
    <w:rsid w:val="007E520E"/>
    <w:rsid w:val="007FD4C2"/>
    <w:rsid w:val="008061F2"/>
    <w:rsid w:val="00856AD7"/>
    <w:rsid w:val="008593D0"/>
    <w:rsid w:val="008C6167"/>
    <w:rsid w:val="008E0908"/>
    <w:rsid w:val="00911DAD"/>
    <w:rsid w:val="009938CF"/>
    <w:rsid w:val="009A3FDE"/>
    <w:rsid w:val="009A72FF"/>
    <w:rsid w:val="009D22D9"/>
    <w:rsid w:val="00A51192"/>
    <w:rsid w:val="00A71D26"/>
    <w:rsid w:val="00AA6B54"/>
    <w:rsid w:val="00AB2DD2"/>
    <w:rsid w:val="00AF09C7"/>
    <w:rsid w:val="00B01289"/>
    <w:rsid w:val="00B23FAE"/>
    <w:rsid w:val="00B365B2"/>
    <w:rsid w:val="00B448AA"/>
    <w:rsid w:val="00B76534"/>
    <w:rsid w:val="00B954D0"/>
    <w:rsid w:val="00BD2129"/>
    <w:rsid w:val="00BF224B"/>
    <w:rsid w:val="00C32688"/>
    <w:rsid w:val="00C32C52"/>
    <w:rsid w:val="00C754C2"/>
    <w:rsid w:val="00D1580F"/>
    <w:rsid w:val="00D448A5"/>
    <w:rsid w:val="00D76E5F"/>
    <w:rsid w:val="00D81B5A"/>
    <w:rsid w:val="00E129B9"/>
    <w:rsid w:val="00E66284"/>
    <w:rsid w:val="00EF2A5A"/>
    <w:rsid w:val="00EF4D47"/>
    <w:rsid w:val="00F25A1D"/>
    <w:rsid w:val="00F61FF8"/>
    <w:rsid w:val="00F947C0"/>
    <w:rsid w:val="00FA2CC6"/>
    <w:rsid w:val="01B8A53B"/>
    <w:rsid w:val="0207FC5D"/>
    <w:rsid w:val="021A20DC"/>
    <w:rsid w:val="0246D119"/>
    <w:rsid w:val="02495A6F"/>
    <w:rsid w:val="0262099D"/>
    <w:rsid w:val="029CA53F"/>
    <w:rsid w:val="02B9A4FE"/>
    <w:rsid w:val="0350542B"/>
    <w:rsid w:val="035A3B64"/>
    <w:rsid w:val="0366C47D"/>
    <w:rsid w:val="03ED80BA"/>
    <w:rsid w:val="04297C01"/>
    <w:rsid w:val="04456036"/>
    <w:rsid w:val="0464F4E8"/>
    <w:rsid w:val="04BA7E82"/>
    <w:rsid w:val="04DF2B1D"/>
    <w:rsid w:val="052041AD"/>
    <w:rsid w:val="056A867E"/>
    <w:rsid w:val="0572116F"/>
    <w:rsid w:val="06361022"/>
    <w:rsid w:val="0672EE01"/>
    <w:rsid w:val="06913BD8"/>
    <w:rsid w:val="06B748EE"/>
    <w:rsid w:val="06B78B07"/>
    <w:rsid w:val="06EC2A34"/>
    <w:rsid w:val="071F8835"/>
    <w:rsid w:val="07BF66ED"/>
    <w:rsid w:val="07EEB95A"/>
    <w:rsid w:val="082DAC87"/>
    <w:rsid w:val="086E6F83"/>
    <w:rsid w:val="089E4014"/>
    <w:rsid w:val="08B019F2"/>
    <w:rsid w:val="08CDEA10"/>
    <w:rsid w:val="08E547F9"/>
    <w:rsid w:val="08F48CBD"/>
    <w:rsid w:val="0909AC64"/>
    <w:rsid w:val="0951D66A"/>
    <w:rsid w:val="0978CE2D"/>
    <w:rsid w:val="09960909"/>
    <w:rsid w:val="09D5C153"/>
    <w:rsid w:val="0A36A618"/>
    <w:rsid w:val="0A600D2D"/>
    <w:rsid w:val="0AE8C66C"/>
    <w:rsid w:val="0B3FCC18"/>
    <w:rsid w:val="0BFBDD8E"/>
    <w:rsid w:val="0C222A32"/>
    <w:rsid w:val="0C4D7389"/>
    <w:rsid w:val="0C70FA75"/>
    <w:rsid w:val="0C8496CD"/>
    <w:rsid w:val="0C986E29"/>
    <w:rsid w:val="0D706C3A"/>
    <w:rsid w:val="0DFC17A1"/>
    <w:rsid w:val="0F25069D"/>
    <w:rsid w:val="0F39C61B"/>
    <w:rsid w:val="0F6DA968"/>
    <w:rsid w:val="0F9BC4B7"/>
    <w:rsid w:val="0FB915A2"/>
    <w:rsid w:val="0FBA122F"/>
    <w:rsid w:val="102EBF85"/>
    <w:rsid w:val="1031BE7A"/>
    <w:rsid w:val="10352521"/>
    <w:rsid w:val="10707011"/>
    <w:rsid w:val="107D3696"/>
    <w:rsid w:val="10BFD398"/>
    <w:rsid w:val="10C69A6A"/>
    <w:rsid w:val="112FD006"/>
    <w:rsid w:val="115807F0"/>
    <w:rsid w:val="1185B4C1"/>
    <w:rsid w:val="11CAEACB"/>
    <w:rsid w:val="120BC737"/>
    <w:rsid w:val="122AB500"/>
    <w:rsid w:val="123FBC64"/>
    <w:rsid w:val="12799C48"/>
    <w:rsid w:val="12801AED"/>
    <w:rsid w:val="12B82C40"/>
    <w:rsid w:val="12F3D851"/>
    <w:rsid w:val="13752B94"/>
    <w:rsid w:val="137A356C"/>
    <w:rsid w:val="138923B8"/>
    <w:rsid w:val="13A18CE7"/>
    <w:rsid w:val="141BEB4E"/>
    <w:rsid w:val="143BEA5E"/>
    <w:rsid w:val="144197F7"/>
    <w:rsid w:val="144D2A82"/>
    <w:rsid w:val="1462AE05"/>
    <w:rsid w:val="146F35DA"/>
    <w:rsid w:val="153AE710"/>
    <w:rsid w:val="154115BB"/>
    <w:rsid w:val="156E61DD"/>
    <w:rsid w:val="159D3517"/>
    <w:rsid w:val="15BC80F9"/>
    <w:rsid w:val="15BC80F9"/>
    <w:rsid w:val="15C2B5AB"/>
    <w:rsid w:val="160B063B"/>
    <w:rsid w:val="160E2D69"/>
    <w:rsid w:val="161A0DCB"/>
    <w:rsid w:val="16507DD2"/>
    <w:rsid w:val="168BFACF"/>
    <w:rsid w:val="16A93C0F"/>
    <w:rsid w:val="17118926"/>
    <w:rsid w:val="1718E3A2"/>
    <w:rsid w:val="175397F1"/>
    <w:rsid w:val="175760FD"/>
    <w:rsid w:val="177CD4BE"/>
    <w:rsid w:val="178A87A2"/>
    <w:rsid w:val="17A2FDD9"/>
    <w:rsid w:val="17C74974"/>
    <w:rsid w:val="17D1D794"/>
    <w:rsid w:val="1820F7A9"/>
    <w:rsid w:val="1823E120"/>
    <w:rsid w:val="186DBF58"/>
    <w:rsid w:val="18A1993E"/>
    <w:rsid w:val="18A9AE2C"/>
    <w:rsid w:val="19297EA0"/>
    <w:rsid w:val="19D1C3FD"/>
    <w:rsid w:val="19F2EEC2"/>
    <w:rsid w:val="1A098FB9"/>
    <w:rsid w:val="1A3702ED"/>
    <w:rsid w:val="1A4C9D38"/>
    <w:rsid w:val="1A826899"/>
    <w:rsid w:val="1AA82E5B"/>
    <w:rsid w:val="1AC8D888"/>
    <w:rsid w:val="1AC99EFC"/>
    <w:rsid w:val="1B00DC62"/>
    <w:rsid w:val="1B45860E"/>
    <w:rsid w:val="1BE17DBC"/>
    <w:rsid w:val="1BEFC1EF"/>
    <w:rsid w:val="1C174B15"/>
    <w:rsid w:val="1C7B7871"/>
    <w:rsid w:val="1C91F795"/>
    <w:rsid w:val="1CC4EC68"/>
    <w:rsid w:val="1CC8CDB0"/>
    <w:rsid w:val="1CF9ADC9"/>
    <w:rsid w:val="1D06069D"/>
    <w:rsid w:val="1D1273C9"/>
    <w:rsid w:val="1D3027BD"/>
    <w:rsid w:val="1D429141"/>
    <w:rsid w:val="1DA290F0"/>
    <w:rsid w:val="1E06987F"/>
    <w:rsid w:val="1E7CCD22"/>
    <w:rsid w:val="1E8B2DDE"/>
    <w:rsid w:val="1EB115F3"/>
    <w:rsid w:val="1EE574DB"/>
    <w:rsid w:val="1EFB446B"/>
    <w:rsid w:val="1F0C751F"/>
    <w:rsid w:val="1F6D49D3"/>
    <w:rsid w:val="1F815397"/>
    <w:rsid w:val="1FAF8AC5"/>
    <w:rsid w:val="2042585C"/>
    <w:rsid w:val="20B4BFED"/>
    <w:rsid w:val="210EC4BF"/>
    <w:rsid w:val="213BA537"/>
    <w:rsid w:val="214DB8E2"/>
    <w:rsid w:val="2178B9DA"/>
    <w:rsid w:val="219BAA78"/>
    <w:rsid w:val="21AE4BD3"/>
    <w:rsid w:val="21DED64F"/>
    <w:rsid w:val="2211A380"/>
    <w:rsid w:val="2225AA7F"/>
    <w:rsid w:val="227CBF76"/>
    <w:rsid w:val="22BEDFD0"/>
    <w:rsid w:val="22C4ACDF"/>
    <w:rsid w:val="23D0FDFA"/>
    <w:rsid w:val="244C2CD7"/>
    <w:rsid w:val="24549665"/>
    <w:rsid w:val="24885807"/>
    <w:rsid w:val="24906ABF"/>
    <w:rsid w:val="24D70968"/>
    <w:rsid w:val="24FA5197"/>
    <w:rsid w:val="2504BFAE"/>
    <w:rsid w:val="252D6712"/>
    <w:rsid w:val="259972A6"/>
    <w:rsid w:val="25FB76FE"/>
    <w:rsid w:val="261C97CE"/>
    <w:rsid w:val="26249F16"/>
    <w:rsid w:val="2668D7E8"/>
    <w:rsid w:val="273526ED"/>
    <w:rsid w:val="276A5BBC"/>
    <w:rsid w:val="27A2836D"/>
    <w:rsid w:val="28089A2F"/>
    <w:rsid w:val="281F7896"/>
    <w:rsid w:val="282F4E95"/>
    <w:rsid w:val="28796551"/>
    <w:rsid w:val="28AFC00B"/>
    <w:rsid w:val="28B12BEA"/>
    <w:rsid w:val="28B807D4"/>
    <w:rsid w:val="293317C0"/>
    <w:rsid w:val="29A75E9E"/>
    <w:rsid w:val="29D2F49E"/>
    <w:rsid w:val="29DA1E55"/>
    <w:rsid w:val="29EDF1CF"/>
    <w:rsid w:val="29F62AC7"/>
    <w:rsid w:val="2A76BA97"/>
    <w:rsid w:val="2A77962A"/>
    <w:rsid w:val="2A9E2126"/>
    <w:rsid w:val="2AA9138B"/>
    <w:rsid w:val="2B1C9D2B"/>
    <w:rsid w:val="2B2947C9"/>
    <w:rsid w:val="2B515562"/>
    <w:rsid w:val="2B8E5B1C"/>
    <w:rsid w:val="2BD71563"/>
    <w:rsid w:val="2C07958D"/>
    <w:rsid w:val="2C1FBC4A"/>
    <w:rsid w:val="2C484ECD"/>
    <w:rsid w:val="2C51B481"/>
    <w:rsid w:val="2C67C425"/>
    <w:rsid w:val="2C7767DF"/>
    <w:rsid w:val="2CA99555"/>
    <w:rsid w:val="2CD10909"/>
    <w:rsid w:val="2CFF2343"/>
    <w:rsid w:val="2D311DE5"/>
    <w:rsid w:val="2D7AFA84"/>
    <w:rsid w:val="2DB08F73"/>
    <w:rsid w:val="2DED6086"/>
    <w:rsid w:val="2E5F9281"/>
    <w:rsid w:val="2E6FCDC7"/>
    <w:rsid w:val="2EB38BF4"/>
    <w:rsid w:val="2F8CCF96"/>
    <w:rsid w:val="2FA8E632"/>
    <w:rsid w:val="2FBC4629"/>
    <w:rsid w:val="2FE8485F"/>
    <w:rsid w:val="2FFAFAC9"/>
    <w:rsid w:val="300B9E28"/>
    <w:rsid w:val="3037142E"/>
    <w:rsid w:val="3070F412"/>
    <w:rsid w:val="30D2ED0D"/>
    <w:rsid w:val="30E17EAC"/>
    <w:rsid w:val="31257E39"/>
    <w:rsid w:val="315036BF"/>
    <w:rsid w:val="315FDAA5"/>
    <w:rsid w:val="318A1B98"/>
    <w:rsid w:val="31A76E89"/>
    <w:rsid w:val="31AE0F7E"/>
    <w:rsid w:val="31DB7FC9"/>
    <w:rsid w:val="326B8E7D"/>
    <w:rsid w:val="32C0D1A9"/>
    <w:rsid w:val="3305E78A"/>
    <w:rsid w:val="3325EBF9"/>
    <w:rsid w:val="332F0141"/>
    <w:rsid w:val="336C4AC3"/>
    <w:rsid w:val="3380B6D8"/>
    <w:rsid w:val="33C000A4"/>
    <w:rsid w:val="33EA147E"/>
    <w:rsid w:val="33F51437"/>
    <w:rsid w:val="34161042"/>
    <w:rsid w:val="342466AC"/>
    <w:rsid w:val="34666B28"/>
    <w:rsid w:val="34915749"/>
    <w:rsid w:val="34BF2525"/>
    <w:rsid w:val="34C1BC5A"/>
    <w:rsid w:val="34DF0F4B"/>
    <w:rsid w:val="34FC695C"/>
    <w:rsid w:val="3545831A"/>
    <w:rsid w:val="35E91239"/>
    <w:rsid w:val="35FC111A"/>
    <w:rsid w:val="362B4028"/>
    <w:rsid w:val="365D8CBB"/>
    <w:rsid w:val="3694DBEF"/>
    <w:rsid w:val="3721B540"/>
    <w:rsid w:val="373436A0"/>
    <w:rsid w:val="37495830"/>
    <w:rsid w:val="37C105D8"/>
    <w:rsid w:val="37E1F7D6"/>
    <w:rsid w:val="37E61CD1"/>
    <w:rsid w:val="37F7929C"/>
    <w:rsid w:val="3816B00D"/>
    <w:rsid w:val="38605A0E"/>
    <w:rsid w:val="38D224E1"/>
    <w:rsid w:val="38E0A744"/>
    <w:rsid w:val="392B171A"/>
    <w:rsid w:val="396B5412"/>
    <w:rsid w:val="397DC837"/>
    <w:rsid w:val="399362FD"/>
    <w:rsid w:val="39A09024"/>
    <w:rsid w:val="39ADF9CF"/>
    <w:rsid w:val="39BFC931"/>
    <w:rsid w:val="3A446DAF"/>
    <w:rsid w:val="3A47DDB2"/>
    <w:rsid w:val="3A7DA885"/>
    <w:rsid w:val="3AEC67A8"/>
    <w:rsid w:val="3AF846A0"/>
    <w:rsid w:val="3B049483"/>
    <w:rsid w:val="3B199898"/>
    <w:rsid w:val="3B2F335E"/>
    <w:rsid w:val="3B310217"/>
    <w:rsid w:val="3B5DB32E"/>
    <w:rsid w:val="3B885A7E"/>
    <w:rsid w:val="3BD36B9B"/>
    <w:rsid w:val="3C0DE26F"/>
    <w:rsid w:val="3C184806"/>
    <w:rsid w:val="3C5672B5"/>
    <w:rsid w:val="3C744364"/>
    <w:rsid w:val="3C941701"/>
    <w:rsid w:val="3CC4F723"/>
    <w:rsid w:val="3CCB03BF"/>
    <w:rsid w:val="3CF62ABC"/>
    <w:rsid w:val="3D1155EF"/>
    <w:rsid w:val="3D1E69F3"/>
    <w:rsid w:val="3D2B998D"/>
    <w:rsid w:val="3D33A662"/>
    <w:rsid w:val="3D592E1C"/>
    <w:rsid w:val="3DC3B71E"/>
    <w:rsid w:val="3DF6ABF1"/>
    <w:rsid w:val="3DF7AE90"/>
    <w:rsid w:val="3E26AD71"/>
    <w:rsid w:val="3E51395A"/>
    <w:rsid w:val="3E689EA0"/>
    <w:rsid w:val="3F32D351"/>
    <w:rsid w:val="3F4FE8C8"/>
    <w:rsid w:val="3F9BA941"/>
    <w:rsid w:val="3FCBB7C3"/>
    <w:rsid w:val="3FED09BB"/>
    <w:rsid w:val="4048F6B1"/>
    <w:rsid w:val="40ACE18E"/>
    <w:rsid w:val="412DA8E1"/>
    <w:rsid w:val="413CDA8F"/>
    <w:rsid w:val="416A86F4"/>
    <w:rsid w:val="4195B0A6"/>
    <w:rsid w:val="41A9582E"/>
    <w:rsid w:val="41C44992"/>
    <w:rsid w:val="41DFE3D4"/>
    <w:rsid w:val="41F082F8"/>
    <w:rsid w:val="42071814"/>
    <w:rsid w:val="420E0350"/>
    <w:rsid w:val="42432041"/>
    <w:rsid w:val="4260ADF3"/>
    <w:rsid w:val="4287898A"/>
    <w:rsid w:val="42A4A3D3"/>
    <w:rsid w:val="42DE5130"/>
    <w:rsid w:val="432536BB"/>
    <w:rsid w:val="433DFA71"/>
    <w:rsid w:val="433EF6E0"/>
    <w:rsid w:val="438740C0"/>
    <w:rsid w:val="44261E29"/>
    <w:rsid w:val="44640A09"/>
    <w:rsid w:val="446549A3"/>
    <w:rsid w:val="44C86864"/>
    <w:rsid w:val="44D586D3"/>
    <w:rsid w:val="456F3CDD"/>
    <w:rsid w:val="45A3064B"/>
    <w:rsid w:val="46011A04"/>
    <w:rsid w:val="460379FD"/>
    <w:rsid w:val="4619664D"/>
    <w:rsid w:val="46AEC55C"/>
    <w:rsid w:val="46B83835"/>
    <w:rsid w:val="46CD2C3D"/>
    <w:rsid w:val="475AFAAD"/>
    <w:rsid w:val="481A020A"/>
    <w:rsid w:val="48291372"/>
    <w:rsid w:val="486325B3"/>
    <w:rsid w:val="489DD662"/>
    <w:rsid w:val="48CBCA16"/>
    <w:rsid w:val="49F95AE2"/>
    <w:rsid w:val="4A4247E4"/>
    <w:rsid w:val="4A60B433"/>
    <w:rsid w:val="4A929B6F"/>
    <w:rsid w:val="4B4E7AA7"/>
    <w:rsid w:val="4BC0409D"/>
    <w:rsid w:val="4BF7A5C9"/>
    <w:rsid w:val="4C0A56F8"/>
    <w:rsid w:val="4C143A45"/>
    <w:rsid w:val="4C18EA00"/>
    <w:rsid w:val="4C2E6BD0"/>
    <w:rsid w:val="4C3F0F2F"/>
    <w:rsid w:val="4C5D4BC6"/>
    <w:rsid w:val="4CCBB45A"/>
    <w:rsid w:val="4D27CA2C"/>
    <w:rsid w:val="4E5E1324"/>
    <w:rsid w:val="4E684BDC"/>
    <w:rsid w:val="4EC81870"/>
    <w:rsid w:val="4F054849"/>
    <w:rsid w:val="4F159C1B"/>
    <w:rsid w:val="4FB3928D"/>
    <w:rsid w:val="508ABE55"/>
    <w:rsid w:val="508EB51D"/>
    <w:rsid w:val="50B80045"/>
    <w:rsid w:val="50EFC20D"/>
    <w:rsid w:val="5101DCF3"/>
    <w:rsid w:val="51B6608E"/>
    <w:rsid w:val="51B6608E"/>
    <w:rsid w:val="51F99C26"/>
    <w:rsid w:val="522F8221"/>
    <w:rsid w:val="52584684"/>
    <w:rsid w:val="525983FF"/>
    <w:rsid w:val="5261DBB1"/>
    <w:rsid w:val="528FA772"/>
    <w:rsid w:val="52A30769"/>
    <w:rsid w:val="52BA5A3F"/>
    <w:rsid w:val="53A1737E"/>
    <w:rsid w:val="53BA92BF"/>
    <w:rsid w:val="53C0B2A4"/>
    <w:rsid w:val="5415F90E"/>
    <w:rsid w:val="54648C35"/>
    <w:rsid w:val="54C4740B"/>
    <w:rsid w:val="54D50641"/>
    <w:rsid w:val="54FC79F5"/>
    <w:rsid w:val="5558DF03"/>
    <w:rsid w:val="559CD672"/>
    <w:rsid w:val="55BB846F"/>
    <w:rsid w:val="55BDC8D3"/>
    <w:rsid w:val="56246DDE"/>
    <w:rsid w:val="56C97CAB"/>
    <w:rsid w:val="56CA49CA"/>
    <w:rsid w:val="5738A6D3"/>
    <w:rsid w:val="575754D0"/>
    <w:rsid w:val="57603018"/>
    <w:rsid w:val="5762A465"/>
    <w:rsid w:val="57A0C56C"/>
    <w:rsid w:val="57A6BAD8"/>
    <w:rsid w:val="57DD7C62"/>
    <w:rsid w:val="57F3DDDE"/>
    <w:rsid w:val="57F6B637"/>
    <w:rsid w:val="581485E3"/>
    <w:rsid w:val="58464A59"/>
    <w:rsid w:val="588DA8C5"/>
    <w:rsid w:val="589F1ECB"/>
    <w:rsid w:val="58F12B0B"/>
    <w:rsid w:val="5900D049"/>
    <w:rsid w:val="590DBF6C"/>
    <w:rsid w:val="59AB3F6E"/>
    <w:rsid w:val="5A016D96"/>
    <w:rsid w:val="5A1A81BF"/>
    <w:rsid w:val="5A2B1F97"/>
    <w:rsid w:val="5A6FA22E"/>
    <w:rsid w:val="5A79DD72"/>
    <w:rsid w:val="5A993FFD"/>
    <w:rsid w:val="5AA42FCB"/>
    <w:rsid w:val="5AC823BE"/>
    <w:rsid w:val="5B1FAFF8"/>
    <w:rsid w:val="5B8DF6DB"/>
    <w:rsid w:val="5BC6EFF8"/>
    <w:rsid w:val="5BDC2A2F"/>
    <w:rsid w:val="5BEE529A"/>
    <w:rsid w:val="5C034929"/>
    <w:rsid w:val="5C286848"/>
    <w:rsid w:val="5C521552"/>
    <w:rsid w:val="5C7067FD"/>
    <w:rsid w:val="5CC7C9D6"/>
    <w:rsid w:val="5D5989C6"/>
    <w:rsid w:val="5DB3CEED"/>
    <w:rsid w:val="5E183819"/>
    <w:rsid w:val="5E3A1E46"/>
    <w:rsid w:val="5E92B29B"/>
    <w:rsid w:val="5ED625C4"/>
    <w:rsid w:val="5F084AEF"/>
    <w:rsid w:val="5F29CA35"/>
    <w:rsid w:val="5F60090A"/>
    <w:rsid w:val="5F8D0870"/>
    <w:rsid w:val="5FBB6CC9"/>
    <w:rsid w:val="5FF28583"/>
    <w:rsid w:val="602571E7"/>
    <w:rsid w:val="60306355"/>
    <w:rsid w:val="606343BD"/>
    <w:rsid w:val="60F4137C"/>
    <w:rsid w:val="6103CA42"/>
    <w:rsid w:val="610D89EB"/>
    <w:rsid w:val="615A6EF5"/>
    <w:rsid w:val="620E4E6A"/>
    <w:rsid w:val="62433E0D"/>
    <w:rsid w:val="625D437D"/>
    <w:rsid w:val="628E8317"/>
    <w:rsid w:val="6297A9CC"/>
    <w:rsid w:val="629E105F"/>
    <w:rsid w:val="62CCDE9D"/>
    <w:rsid w:val="632CEF0A"/>
    <w:rsid w:val="634D698D"/>
    <w:rsid w:val="6385954D"/>
    <w:rsid w:val="639AF0AC"/>
    <w:rsid w:val="63A1BE1E"/>
    <w:rsid w:val="63B4F6B3"/>
    <w:rsid w:val="6453A8C7"/>
    <w:rsid w:val="649696BA"/>
    <w:rsid w:val="64D7A67D"/>
    <w:rsid w:val="652B33D6"/>
    <w:rsid w:val="65480B59"/>
    <w:rsid w:val="6550EDA1"/>
    <w:rsid w:val="65906099"/>
    <w:rsid w:val="65960DB4"/>
    <w:rsid w:val="65F39ED4"/>
    <w:rsid w:val="66850A4F"/>
    <w:rsid w:val="66958BF6"/>
    <w:rsid w:val="66A7260D"/>
    <w:rsid w:val="66CD3E78"/>
    <w:rsid w:val="67157622"/>
    <w:rsid w:val="6726CA5C"/>
    <w:rsid w:val="6740AC81"/>
    <w:rsid w:val="677AB9A4"/>
    <w:rsid w:val="67A5F202"/>
    <w:rsid w:val="67ABEE20"/>
    <w:rsid w:val="67B6AD87"/>
    <w:rsid w:val="67F56E19"/>
    <w:rsid w:val="67FA94F6"/>
    <w:rsid w:val="6834FB29"/>
    <w:rsid w:val="683E265A"/>
    <w:rsid w:val="6869CA5D"/>
    <w:rsid w:val="6892D700"/>
    <w:rsid w:val="68A5AFEA"/>
    <w:rsid w:val="68A9300E"/>
    <w:rsid w:val="68B641E9"/>
    <w:rsid w:val="68C29ABD"/>
    <w:rsid w:val="68C8FD34"/>
    <w:rsid w:val="694BC193"/>
    <w:rsid w:val="696ACB71"/>
    <w:rsid w:val="698680E1"/>
    <w:rsid w:val="69996AED"/>
    <w:rsid w:val="69AA7E61"/>
    <w:rsid w:val="69D2D0F3"/>
    <w:rsid w:val="69D354B2"/>
    <w:rsid w:val="6A30F5C5"/>
    <w:rsid w:val="6A58A556"/>
    <w:rsid w:val="6A9AF5C2"/>
    <w:rsid w:val="6AA2BBB1"/>
    <w:rsid w:val="6ACB3D16"/>
    <w:rsid w:val="6C0F8154"/>
    <w:rsid w:val="6C1D3A1A"/>
    <w:rsid w:val="6C898A4F"/>
    <w:rsid w:val="6C9E3EC0"/>
    <w:rsid w:val="6CAA8934"/>
    <w:rsid w:val="6CC2E4A4"/>
    <w:rsid w:val="6CC3B546"/>
    <w:rsid w:val="6CF25557"/>
    <w:rsid w:val="6D3DF27C"/>
    <w:rsid w:val="6D60FEB9"/>
    <w:rsid w:val="6D904618"/>
    <w:rsid w:val="6D960BE0"/>
    <w:rsid w:val="6DAD41FC"/>
    <w:rsid w:val="6DB99DB9"/>
    <w:rsid w:val="6DF1C1B9"/>
    <w:rsid w:val="6E18234A"/>
    <w:rsid w:val="6E8CF506"/>
    <w:rsid w:val="6ED90BE1"/>
    <w:rsid w:val="6F2D6D6D"/>
    <w:rsid w:val="6F2F9398"/>
    <w:rsid w:val="6FA6EE3E"/>
    <w:rsid w:val="6FB5B8F4"/>
    <w:rsid w:val="6FB62C48"/>
    <w:rsid w:val="6FFD4C63"/>
    <w:rsid w:val="70048951"/>
    <w:rsid w:val="7028C567"/>
    <w:rsid w:val="7029F619"/>
    <w:rsid w:val="705D37B6"/>
    <w:rsid w:val="70B6CBFA"/>
    <w:rsid w:val="70C089F1"/>
    <w:rsid w:val="70D37988"/>
    <w:rsid w:val="70DDCF64"/>
    <w:rsid w:val="711073AE"/>
    <w:rsid w:val="712A3EBF"/>
    <w:rsid w:val="71922EFC"/>
    <w:rsid w:val="71C6A072"/>
    <w:rsid w:val="71E38993"/>
    <w:rsid w:val="7210ACA3"/>
    <w:rsid w:val="7221C50C"/>
    <w:rsid w:val="723E7C39"/>
    <w:rsid w:val="7266C0A8"/>
    <w:rsid w:val="7269D379"/>
    <w:rsid w:val="728C7086"/>
    <w:rsid w:val="72BAF573"/>
    <w:rsid w:val="72DB2BEF"/>
    <w:rsid w:val="72F7F497"/>
    <w:rsid w:val="72F8355B"/>
    <w:rsid w:val="73215D07"/>
    <w:rsid w:val="73B5209D"/>
    <w:rsid w:val="73B5CEF6"/>
    <w:rsid w:val="73E8A678"/>
    <w:rsid w:val="73F266E8"/>
    <w:rsid w:val="744121C1"/>
    <w:rsid w:val="747B486A"/>
    <w:rsid w:val="74938853"/>
    <w:rsid w:val="74998B32"/>
    <w:rsid w:val="74C0D475"/>
    <w:rsid w:val="751B1B72"/>
    <w:rsid w:val="7542FA00"/>
    <w:rsid w:val="7547794A"/>
    <w:rsid w:val="759FBE16"/>
    <w:rsid w:val="75E5F185"/>
    <w:rsid w:val="75E63BEF"/>
    <w:rsid w:val="75E72418"/>
    <w:rsid w:val="75E85500"/>
    <w:rsid w:val="75F36A76"/>
    <w:rsid w:val="765E191D"/>
    <w:rsid w:val="7664A4DE"/>
    <w:rsid w:val="766B563A"/>
    <w:rsid w:val="767253E4"/>
    <w:rsid w:val="7672E12B"/>
    <w:rsid w:val="76A31B9F"/>
    <w:rsid w:val="76B474E3"/>
    <w:rsid w:val="76C6B8E2"/>
    <w:rsid w:val="76C8C4B5"/>
    <w:rsid w:val="76D68D6E"/>
    <w:rsid w:val="76E349AB"/>
    <w:rsid w:val="77137859"/>
    <w:rsid w:val="77833053"/>
    <w:rsid w:val="783BC4D2"/>
    <w:rsid w:val="783DEA9B"/>
    <w:rsid w:val="78779F4B"/>
    <w:rsid w:val="78A62B7B"/>
    <w:rsid w:val="78C58360"/>
    <w:rsid w:val="78DD5829"/>
    <w:rsid w:val="79B0C454"/>
    <w:rsid w:val="79D79533"/>
    <w:rsid w:val="79DABC61"/>
    <w:rsid w:val="79E2388D"/>
    <w:rsid w:val="7A2D3FAF"/>
    <w:rsid w:val="7A496D1C"/>
    <w:rsid w:val="7A775A58"/>
    <w:rsid w:val="7ABEA4E5"/>
    <w:rsid w:val="7B42680A"/>
    <w:rsid w:val="7BA8E2DB"/>
    <w:rsid w:val="7BB78EE9"/>
    <w:rsid w:val="7BF2C818"/>
    <w:rsid w:val="7C330B49"/>
    <w:rsid w:val="7C395F22"/>
    <w:rsid w:val="7CE3754C"/>
    <w:rsid w:val="7D18C849"/>
    <w:rsid w:val="7D4CFBA6"/>
    <w:rsid w:val="7D90FE93"/>
    <w:rsid w:val="7E00D69F"/>
    <w:rsid w:val="7E2345DB"/>
    <w:rsid w:val="7E481E5C"/>
    <w:rsid w:val="7E86CA40"/>
    <w:rsid w:val="7EAB0656"/>
    <w:rsid w:val="7EE28019"/>
    <w:rsid w:val="7EF91077"/>
    <w:rsid w:val="7F51C6BF"/>
    <w:rsid w:val="7FB5D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7E3EC"/>
  <w15:docId w15:val="{A98A00D3-0C78-46EB-B385-C178E8702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7F3B"/>
    <w:pPr>
      <w:spacing w:after="160" w:line="259" w:lineRule="auto"/>
    </w:pPr>
    <w:rPr>
      <w:rFonts w:ascii="Calibri" w:hAnsi="Calibri" w:eastAsia="Calibri" w:cs="Calibri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02DDB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F3B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467F3B"/>
  </w:style>
  <w:style w:type="paragraph" w:styleId="Header">
    <w:name w:val="header"/>
    <w:basedOn w:val="Normal"/>
    <w:link w:val="HeaderChar"/>
    <w:uiPriority w:val="99"/>
    <w:unhideWhenUsed/>
    <w:rsid w:val="00467F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7F3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67F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67F3B"/>
    <w:rPr>
      <w:rFonts w:ascii="Calibri" w:hAnsi="Calibri" w:eastAsia="Calibri" w:cs="Calibri"/>
    </w:rPr>
  </w:style>
  <w:style w:type="character" w:styleId="Heading2Char" w:customStyle="1">
    <w:name w:val="Heading 2 Char"/>
    <w:basedOn w:val="DefaultParagraphFont"/>
    <w:link w:val="Heading2"/>
    <w:uiPriority w:val="99"/>
    <w:rsid w:val="00102DDB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5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B0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5B04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B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5B04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5B04"/>
    <w:rPr>
      <w:rFonts w:ascii="Tahoma" w:hAnsi="Tahoma" w:eastAsia="Calibri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47609e1c4bab4585" /><Relationship Type="http://schemas.microsoft.com/office/2011/relationships/people" Target="people.xml" Id="R8f32ddf27b2b4da0" /><Relationship Type="http://schemas.microsoft.com/office/2011/relationships/commentsExtended" Target="commentsExtended.xml" Id="Rd4acac8e85fe4cc6" /><Relationship Type="http://schemas.microsoft.com/office/2016/09/relationships/commentsIds" Target="commentsIds.xml" Id="Re1a4c16294974245" /><Relationship Type="http://schemas.openxmlformats.org/officeDocument/2006/relationships/hyperlink" Target="https://scottish.sharepoint.com/:w:/s/MHPPEFs/Ecj0widGhyRMjjq2VeSVeSAB4h_rjA3DkuCDlEnauOh5tQ?e=qpKsTp" TargetMode="External" Id="R2971c91255f549b2" /><Relationship Type="http://schemas.openxmlformats.org/officeDocument/2006/relationships/hyperlink" Target="https://scottish.sharepoint.com/:w:/s/PracticeEducation692/Eev8Lmcd1ttBisxWUN9xuj0BoAkAqUhIVrept2IaJGEtwg?e=gbtfHO" TargetMode="External" Id="R53e457ade313494a" /><Relationship Type="http://schemas.openxmlformats.org/officeDocument/2006/relationships/hyperlink" Target="https://www.nhsggc.scot/staff-recruitment/staff-resources/nurses-and-midwives/nurses-and-midwives-practice-education/practice-supervisor-practice-assessor-portal/preparation-practice-supervisors-practice-assessors/" TargetMode="External" Id="R8f48b3dafbe8405f" /><Relationship Type="http://schemas.openxmlformats.org/officeDocument/2006/relationships/hyperlink" Target="https://www.nhsggc.scot/staff-recruitment/staff-resources/nurses-and-midwives/nurses-and-midwives-practice-education/practice-supervisor-practice-assessor-portal/preparation-practice-supervisors-practice-assessors/" TargetMode="External" Id="R9ed00160a02b49d2" /><Relationship Type="http://schemas.openxmlformats.org/officeDocument/2006/relationships/hyperlink" Target="https://scottish.sharepoint.com/:x:/s/MHPPEFs/Eb_56IjjpIFDqz2aJYrul6gBtQh2nT9A6hQJOyM0ajUe9w?e=SeIL9J" TargetMode="External" Id="R4c7ef31cf60649ed" /><Relationship Type="http://schemas.openxmlformats.org/officeDocument/2006/relationships/hyperlink" Target="https://scottish.sharepoint.com/:w:/s/PracticeEducation692/Eev8Lmcd1ttBisxWUN9xuj0BoAkAqUhIVrept2IaJGEtwg?e=bKRQpc" TargetMode="External" Id="R2077d04fd6c742ac" /><Relationship Type="http://schemas.openxmlformats.org/officeDocument/2006/relationships/hyperlink" Target="https://www.nmc.org.uk/supporting-information-on-standards-for-student-supervision-and-assessment/" TargetMode="External" Id="R595f7c0f843d433b" /><Relationship Type="http://schemas.openxmlformats.org/officeDocument/2006/relationships/hyperlink" Target="https://www.nes.scot.nhs.uk/our-work/quality-standards-for-practice-learning-qspl/" TargetMode="External" Id="Reac66f986ef7494d" /><Relationship Type="http://schemas.openxmlformats.org/officeDocument/2006/relationships/hyperlink" Target="https://scottish.sharepoint.com/:w:/s/PracticeEducation692/Eev8Lmcd1ttBisxWUN9xuj0BoAkAqUhIVrept2IaJGEtwg?e=gbtfHO" TargetMode="External" Id="R0dc93e34fd6e4e17" /><Relationship Type="http://schemas.openxmlformats.org/officeDocument/2006/relationships/hyperlink" Target="mailto:JD@carehome.com" TargetMode="External" Id="R7cf8db2f9f0f434a" /><Relationship Type="http://schemas.openxmlformats.org/officeDocument/2006/relationships/hyperlink" Target="https://www.nhsggc.scot/staff-recruitment/staff-resources/nurses-and-midwives/nurses-and-midwives-practice-education/practice-supervisor-practice-assessor-portal/preparation-practice-supervisors-practice-assessors/" TargetMode="External" Id="R4e95676ec7e048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08F779970F84C843AB55D933EB081" ma:contentTypeVersion="17" ma:contentTypeDescription="Create a new document." ma:contentTypeScope="" ma:versionID="308dd484586d3a5615b82ab59210610d">
  <xsd:schema xmlns:xsd="http://www.w3.org/2001/XMLSchema" xmlns:xs="http://www.w3.org/2001/XMLSchema" xmlns:p="http://schemas.microsoft.com/office/2006/metadata/properties" xmlns:ns2="25793f7a-a37b-4e1c-b9fe-39e28de9fedb" xmlns:ns3="4442bde8-3b9a-412f-bffa-98aaf5709b6b" targetNamespace="http://schemas.microsoft.com/office/2006/metadata/properties" ma:root="true" ma:fieldsID="2166ba3200ca451cc651e879ba35d565" ns2:_="" ns3:_="">
    <xsd:import namespace="25793f7a-a37b-4e1c-b9fe-39e28de9fedb"/>
    <xsd:import namespace="4442bde8-3b9a-412f-bffa-98aaf570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s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93f7a-a37b-4e1c-b9fe-39e28de9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" ma:index="1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bde8-3b9a-412f-bffa-98aaf570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3f9422-89ee-4f8e-b829-a5c45c66152b}" ma:internalName="TaxCatchAll" ma:showField="CatchAllData" ma:web="4442bde8-3b9a-412f-bffa-98aaf570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5793f7a-a37b-4e1c-b9fe-39e28de9fedb">
      <UserInfo>
        <DisplayName/>
        <AccountId xsi:nil="true"/>
        <AccountType/>
      </UserInfo>
    </Person>
    <TaxCatchAll xmlns="4442bde8-3b9a-412f-bffa-98aaf5709b6b" xsi:nil="true"/>
    <lcf76f155ced4ddcb4097134ff3c332f xmlns="25793f7a-a37b-4e1c-b9fe-39e28de9fedb">
      <Terms xmlns="http://schemas.microsoft.com/office/infopath/2007/PartnerControls"/>
    </lcf76f155ced4ddcb4097134ff3c332f>
    <SharedWithUsers xmlns="4442bde8-3b9a-412f-bffa-98aaf5709b6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58AEB-77EC-417D-BE50-118A0DF537BF}"/>
</file>

<file path=customXml/itemProps2.xml><?xml version="1.0" encoding="utf-8"?>
<ds:datastoreItem xmlns:ds="http://schemas.openxmlformats.org/officeDocument/2006/customXml" ds:itemID="{A3B7AA4C-9EF4-47EC-90FD-2D870C2CE05F}">
  <ds:schemaRefs>
    <ds:schemaRef ds:uri="811f619f-0ff2-4d4a-b6b5-28f48116f864"/>
    <ds:schemaRef ds:uri="http://purl.org/dc/terms/"/>
    <ds:schemaRef ds:uri="http://schemas.microsoft.com/office/2006/documentManagement/types"/>
    <ds:schemaRef ds:uri="48a3cf01-9924-4cd7-a6c7-23001d48702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C74FA6-F3AD-4DC7-BDFF-C76848D29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75B71-2E83-46ED-872B-04F76F42FEE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Greater Glasgow and 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CROSS1</dc:creator>
  <lastModifiedBy>Dickins, Allan</lastModifiedBy>
  <revision>15</revision>
  <lastPrinted>2017-09-20T11:37:00.0000000Z</lastPrinted>
  <dcterms:created xsi:type="dcterms:W3CDTF">2022-04-22T08:26:00.0000000Z</dcterms:created>
  <dcterms:modified xsi:type="dcterms:W3CDTF">2024-01-04T11:42:07.6093201Z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0x010100B4308F779970F84C843AB55D933EB081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