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439" w:rsidRPr="00D56439" w:rsidRDefault="00D56439" w:rsidP="00D56439">
      <w:pPr>
        <w:jc w:val="center"/>
        <w:rPr>
          <w:rFonts w:ascii="Arial" w:hAnsi="Arial" w:cs="Arial"/>
        </w:rPr>
      </w:pPr>
    </w:p>
    <w:p w:rsidR="00D56439" w:rsidRPr="00D56439" w:rsidRDefault="00D56439" w:rsidP="00D56439">
      <w:pPr>
        <w:jc w:val="center"/>
        <w:rPr>
          <w:rFonts w:ascii="Arial" w:hAnsi="Arial" w:cs="Arial"/>
          <w:b/>
          <w:sz w:val="32"/>
        </w:rPr>
      </w:pPr>
      <w:r w:rsidRPr="00D56439">
        <w:rPr>
          <w:rFonts w:ascii="Arial" w:hAnsi="Arial" w:cs="Arial"/>
          <w:b/>
          <w:sz w:val="32"/>
        </w:rPr>
        <w:t>Mobilising Guidance</w:t>
      </w:r>
    </w:p>
    <w:p w:rsidR="00D56439" w:rsidRPr="00D56439" w:rsidRDefault="00D56439" w:rsidP="00D56439">
      <w:pPr>
        <w:jc w:val="center"/>
        <w:rPr>
          <w:rFonts w:ascii="Arial" w:hAnsi="Arial" w:cs="Arial"/>
        </w:rPr>
      </w:pPr>
    </w:p>
    <w:p w:rsidR="00D56439" w:rsidRPr="00D56439" w:rsidRDefault="00D56439" w:rsidP="00544B55">
      <w:pPr>
        <w:spacing w:after="240" w:line="276" w:lineRule="auto"/>
        <w:rPr>
          <w:rFonts w:ascii="Arial" w:hAnsi="Arial" w:cs="Arial"/>
        </w:rPr>
      </w:pPr>
      <w:r w:rsidRPr="00D56439">
        <w:rPr>
          <w:rFonts w:ascii="Arial" w:hAnsi="Arial" w:cs="Arial"/>
        </w:rPr>
        <w:t>Tripping and falling while mobilising remains a high risk activity for patients when in our care.</w:t>
      </w:r>
      <w:r>
        <w:rPr>
          <w:rFonts w:ascii="Arial" w:hAnsi="Arial" w:cs="Arial"/>
        </w:rPr>
        <w:t xml:space="preserve"> </w:t>
      </w:r>
      <w:r w:rsidRPr="00D56439">
        <w:rPr>
          <w:rFonts w:ascii="Arial" w:hAnsi="Arial" w:cs="Arial"/>
        </w:rPr>
        <w:t>To reduce the risks from mobilising, staff should follow the guidance below:</w:t>
      </w:r>
    </w:p>
    <w:p w:rsidR="00544B55" w:rsidRPr="00D56439" w:rsidRDefault="00544B55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Ensure the path being used is clear of obstructions</w:t>
      </w:r>
    </w:p>
    <w:p w:rsidR="00544B55" w:rsidRPr="00D56439" w:rsidRDefault="00544B55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Identify whether a</w:t>
      </w:r>
      <w:r w:rsidRPr="00D56439">
        <w:rPr>
          <w:rFonts w:ascii="Arial" w:hAnsi="Arial" w:cs="Arial"/>
        </w:rPr>
        <w:t xml:space="preserve"> walking aid is required </w:t>
      </w:r>
      <w:r>
        <w:rPr>
          <w:rFonts w:ascii="Arial" w:hAnsi="Arial" w:cs="Arial"/>
        </w:rPr>
        <w:t xml:space="preserve">and if so, that it is used </w:t>
      </w:r>
      <w:r w:rsidRPr="00D56439">
        <w:rPr>
          <w:rFonts w:ascii="Arial" w:hAnsi="Arial" w:cs="Arial"/>
        </w:rPr>
        <w:t>appropriately</w:t>
      </w:r>
      <w:r>
        <w:rPr>
          <w:rFonts w:ascii="Arial" w:hAnsi="Arial" w:cs="Arial"/>
        </w:rPr>
        <w:t>.</w:t>
      </w:r>
    </w:p>
    <w:p w:rsidR="00544B55" w:rsidRPr="00D56439" w:rsidRDefault="00544B55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 w:rsidRPr="00D56439">
        <w:rPr>
          <w:rFonts w:ascii="Arial" w:hAnsi="Arial" w:cs="Arial"/>
        </w:rPr>
        <w:t>Ensure patient</w:t>
      </w:r>
      <w:r>
        <w:rPr>
          <w:rFonts w:ascii="Arial" w:hAnsi="Arial" w:cs="Arial"/>
        </w:rPr>
        <w:t>s only have access to appropriate footwear and that this is worn during mobilisation.</w:t>
      </w:r>
    </w:p>
    <w:p w:rsidR="00794451" w:rsidRDefault="00794451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Consider the distance to be mobilised and whether the person will manage it. Consider reducing the distance to be walked or positioning seating along the way in order to rest.</w:t>
      </w:r>
    </w:p>
    <w:p w:rsidR="00D251D2" w:rsidRDefault="00D56439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 w:rsidRPr="00D56439">
        <w:rPr>
          <w:rFonts w:ascii="Arial" w:hAnsi="Arial" w:cs="Arial"/>
        </w:rPr>
        <w:t xml:space="preserve">Offer only the support required, </w:t>
      </w:r>
      <w:r w:rsidR="00544B55">
        <w:rPr>
          <w:rFonts w:ascii="Arial" w:hAnsi="Arial" w:cs="Arial"/>
        </w:rPr>
        <w:t>too much assistance can increase the persons dependence on you</w:t>
      </w:r>
      <w:r w:rsidR="00794451">
        <w:rPr>
          <w:rFonts w:ascii="Arial" w:hAnsi="Arial" w:cs="Arial"/>
        </w:rPr>
        <w:t xml:space="preserve"> and inhibit successful </w:t>
      </w:r>
      <w:r w:rsidR="00F4193E">
        <w:rPr>
          <w:rFonts w:ascii="Arial" w:hAnsi="Arial" w:cs="Arial"/>
        </w:rPr>
        <w:t>mobilisation.</w:t>
      </w:r>
    </w:p>
    <w:p w:rsidR="00794451" w:rsidRDefault="00794451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When walking with some</w:t>
      </w:r>
      <w:bookmarkStart w:id="0" w:name="_GoBack"/>
      <w:bookmarkEnd w:id="0"/>
      <w:r>
        <w:rPr>
          <w:rFonts w:ascii="Arial" w:hAnsi="Arial" w:cs="Arial"/>
        </w:rPr>
        <w:t>one, w</w:t>
      </w:r>
      <w:r w:rsidRPr="00D56439">
        <w:rPr>
          <w:rFonts w:ascii="Arial" w:hAnsi="Arial" w:cs="Arial"/>
        </w:rPr>
        <w:t xml:space="preserve">alk close </w:t>
      </w:r>
      <w:r>
        <w:rPr>
          <w:rFonts w:ascii="Arial" w:hAnsi="Arial" w:cs="Arial"/>
        </w:rPr>
        <w:t xml:space="preserve">to them on a slight </w:t>
      </w:r>
      <w:r w:rsidRPr="00D56439">
        <w:rPr>
          <w:rFonts w:ascii="Arial" w:hAnsi="Arial" w:cs="Arial"/>
        </w:rPr>
        <w:t>angle</w:t>
      </w:r>
      <w:r>
        <w:rPr>
          <w:rFonts w:ascii="Arial" w:hAnsi="Arial" w:cs="Arial"/>
        </w:rPr>
        <w:t xml:space="preserve"> (to reduce twisting). D</w:t>
      </w:r>
      <w:r w:rsidRPr="00D56439">
        <w:rPr>
          <w:rFonts w:ascii="Arial" w:hAnsi="Arial" w:cs="Arial"/>
        </w:rPr>
        <w:t>o not</w:t>
      </w:r>
      <w:r>
        <w:rPr>
          <w:rFonts w:ascii="Arial" w:hAnsi="Arial" w:cs="Arial"/>
        </w:rPr>
        <w:t xml:space="preserve"> assist the person to walk from directly in front, </w:t>
      </w:r>
      <w:r w:rsidRPr="00D56439">
        <w:rPr>
          <w:rFonts w:ascii="Arial" w:hAnsi="Arial" w:cs="Arial"/>
        </w:rPr>
        <w:t xml:space="preserve">unless </w:t>
      </w:r>
      <w:r>
        <w:rPr>
          <w:rFonts w:ascii="Arial" w:hAnsi="Arial" w:cs="Arial"/>
        </w:rPr>
        <w:t>the persons care plan identifies this as an appropriate approach.</w:t>
      </w:r>
      <w:r w:rsidRPr="00D56439">
        <w:rPr>
          <w:rFonts w:ascii="Arial" w:hAnsi="Arial" w:cs="Arial"/>
        </w:rPr>
        <w:t xml:space="preserve"> </w:t>
      </w:r>
    </w:p>
    <w:p w:rsidR="004B44CB" w:rsidRPr="004B44CB" w:rsidRDefault="0099572E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637540</wp:posOffset>
            </wp:positionV>
            <wp:extent cx="571500" cy="571500"/>
            <wp:effectExtent l="0" t="0" r="0" b="0"/>
            <wp:wrapNone/>
            <wp:docPr id="144" name="Picture 144" descr="MC9004326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MC90043260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637540</wp:posOffset>
            </wp:positionV>
            <wp:extent cx="571500" cy="556260"/>
            <wp:effectExtent l="0" t="0" r="0" b="0"/>
            <wp:wrapNone/>
            <wp:docPr id="135" name="Picture 135" descr="MC9004326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C90043260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51">
        <w:rPr>
          <w:rFonts w:ascii="Arial" w:hAnsi="Arial" w:cs="Arial"/>
        </w:rPr>
        <w:t>If providing assistance, do so using a long low hold towards the persons lower back / hip</w:t>
      </w:r>
      <w:r w:rsidR="00D56439" w:rsidRPr="00D56439">
        <w:rPr>
          <w:rFonts w:ascii="Arial" w:hAnsi="Arial" w:cs="Arial"/>
        </w:rPr>
        <w:t>.</w:t>
      </w:r>
      <w:r w:rsidR="00544B55" w:rsidRPr="00544B55">
        <w:rPr>
          <w:rFonts w:ascii="Arial" w:hAnsi="Arial" w:cs="Arial"/>
        </w:rPr>
        <w:t xml:space="preserve"> </w:t>
      </w:r>
      <w:r w:rsidR="00794451">
        <w:rPr>
          <w:rFonts w:ascii="Arial" w:hAnsi="Arial" w:cs="Arial"/>
        </w:rPr>
        <w:t>Do not use a ‘lock on’ hold, for example, ho</w:t>
      </w:r>
      <w:r w:rsidR="00D251D2">
        <w:rPr>
          <w:rFonts w:ascii="Arial" w:hAnsi="Arial" w:cs="Arial"/>
        </w:rPr>
        <w:t xml:space="preserve">lding the persons hand; holding </w:t>
      </w:r>
      <w:r w:rsidR="00794451">
        <w:rPr>
          <w:rFonts w:ascii="Arial" w:hAnsi="Arial" w:cs="Arial"/>
        </w:rPr>
        <w:t>under their auxilla; or, allowing the person to hold on to you</w:t>
      </w:r>
      <w:r w:rsidR="003E04A9">
        <w:rPr>
          <w:rFonts w:ascii="Arial" w:hAnsi="Arial" w:cs="Arial"/>
          <w:b/>
          <w:color w:val="FF0000"/>
        </w:rPr>
        <w:t xml:space="preserve">  </w:t>
      </w:r>
    </w:p>
    <w:p w:rsidR="004B44CB" w:rsidRPr="004B44CB" w:rsidRDefault="0099572E" w:rsidP="004B44CB">
      <w:pPr>
        <w:spacing w:after="240" w:line="276" w:lineRule="auto"/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185420</wp:posOffset>
            </wp:positionV>
            <wp:extent cx="1373505" cy="1828800"/>
            <wp:effectExtent l="0" t="0" r="0" b="0"/>
            <wp:wrapSquare wrapText="bothSides"/>
            <wp:docPr id="140" name="Picture 140" descr="20130913_15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0130913_155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28800"/>
                    </a:xfrm>
                    <a:prstGeom prst="rect">
                      <a:avLst/>
                    </a:prstGeom>
                    <a:solidFill>
                      <a:srgbClr val="777777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185420</wp:posOffset>
            </wp:positionV>
            <wp:extent cx="1200785" cy="1828800"/>
            <wp:effectExtent l="0" t="0" r="0" b="0"/>
            <wp:wrapSquare wrapText="bothSides"/>
            <wp:docPr id="139" name="Picture 139" descr="20130913_15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20130913_154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28800"/>
                    </a:xfrm>
                    <a:prstGeom prst="rect">
                      <a:avLst/>
                    </a:prstGeom>
                    <a:solidFill>
                      <a:srgbClr val="777777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CB" w:rsidRPr="004B44CB" w:rsidRDefault="004B44CB" w:rsidP="004B44CB">
      <w:pPr>
        <w:spacing w:after="240" w:line="276" w:lineRule="auto"/>
        <w:ind w:left="360"/>
        <w:rPr>
          <w:rFonts w:ascii="Arial" w:hAnsi="Arial" w:cs="Arial"/>
        </w:rPr>
      </w:pPr>
    </w:p>
    <w:p w:rsidR="001C75CB" w:rsidRDefault="0099572E" w:rsidP="004B44CB">
      <w:pPr>
        <w:spacing w:after="240" w:line="276" w:lineRule="auto"/>
        <w:ind w:left="360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161290</wp:posOffset>
            </wp:positionV>
            <wp:extent cx="1146810" cy="1030605"/>
            <wp:effectExtent l="0" t="0" r="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030605"/>
                    </a:xfrm>
                    <a:prstGeom prst="rect">
                      <a:avLst/>
                    </a:prstGeom>
                    <a:solidFill>
                      <a:srgbClr val="777777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3810</wp:posOffset>
            </wp:positionV>
            <wp:extent cx="920115" cy="1188085"/>
            <wp:effectExtent l="0" t="0" r="0" b="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CB" w:rsidRDefault="004B44CB" w:rsidP="004B44CB">
      <w:pPr>
        <w:spacing w:after="240" w:line="276" w:lineRule="auto"/>
        <w:ind w:left="360"/>
        <w:rPr>
          <w:rFonts w:ascii="Arial" w:hAnsi="Arial" w:cs="Arial"/>
          <w:b/>
          <w:color w:val="FF0000"/>
        </w:rPr>
      </w:pPr>
    </w:p>
    <w:p w:rsidR="004B44CB" w:rsidRPr="001C75CB" w:rsidRDefault="0099572E" w:rsidP="00A91404">
      <w:pPr>
        <w:spacing w:after="240" w:line="276" w:lineRule="auto"/>
        <w:ind w:left="357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140970</wp:posOffset>
            </wp:positionV>
            <wp:extent cx="457200" cy="457200"/>
            <wp:effectExtent l="0" t="0" r="0" b="0"/>
            <wp:wrapSquare wrapText="bothSides"/>
            <wp:docPr id="134" name="Picture 134" descr="MC9004326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MC900432619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140970</wp:posOffset>
            </wp:positionV>
            <wp:extent cx="457200" cy="457200"/>
            <wp:effectExtent l="0" t="0" r="0" b="0"/>
            <wp:wrapSquare wrapText="bothSides"/>
            <wp:docPr id="145" name="Picture 145" descr="MC9004326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C900432619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404" w:rsidRDefault="00A91404" w:rsidP="00A91404">
      <w:pPr>
        <w:spacing w:after="120" w:line="276" w:lineRule="auto"/>
        <w:ind w:left="357"/>
        <w:rPr>
          <w:rFonts w:ascii="Arial" w:hAnsi="Arial" w:cs="Arial"/>
        </w:rPr>
      </w:pPr>
    </w:p>
    <w:p w:rsidR="00A91404" w:rsidRDefault="00A91404" w:rsidP="00A91404">
      <w:pPr>
        <w:spacing w:after="120" w:line="276" w:lineRule="auto"/>
        <w:ind w:left="357"/>
        <w:rPr>
          <w:rFonts w:ascii="Arial" w:hAnsi="Arial" w:cs="Arial"/>
        </w:rPr>
      </w:pPr>
    </w:p>
    <w:p w:rsidR="00D56439" w:rsidRPr="00D56439" w:rsidRDefault="00D56439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 w:rsidRPr="00D56439">
        <w:rPr>
          <w:rFonts w:ascii="Arial" w:hAnsi="Arial" w:cs="Arial"/>
        </w:rPr>
        <w:t xml:space="preserve">Match </w:t>
      </w:r>
      <w:r w:rsidR="00690084">
        <w:rPr>
          <w:rFonts w:ascii="Arial" w:hAnsi="Arial" w:cs="Arial"/>
        </w:rPr>
        <w:t xml:space="preserve">the </w:t>
      </w:r>
      <w:r w:rsidRPr="00D56439">
        <w:rPr>
          <w:rFonts w:ascii="Arial" w:hAnsi="Arial" w:cs="Arial"/>
        </w:rPr>
        <w:t xml:space="preserve">speed </w:t>
      </w:r>
      <w:r w:rsidR="00690084">
        <w:rPr>
          <w:rFonts w:ascii="Arial" w:hAnsi="Arial" w:cs="Arial"/>
        </w:rPr>
        <w:t>the person is walking at, do not rush them. P</w:t>
      </w:r>
      <w:r w:rsidRPr="00D56439">
        <w:rPr>
          <w:rFonts w:ascii="Arial" w:hAnsi="Arial" w:cs="Arial"/>
        </w:rPr>
        <w:t>rovide verbal</w:t>
      </w:r>
      <w:r w:rsidR="00690084">
        <w:rPr>
          <w:rFonts w:ascii="Arial" w:hAnsi="Arial" w:cs="Arial"/>
        </w:rPr>
        <w:t xml:space="preserve"> encouragement as</w:t>
      </w:r>
      <w:r w:rsidRPr="00D56439">
        <w:rPr>
          <w:rFonts w:ascii="Arial" w:hAnsi="Arial" w:cs="Arial"/>
        </w:rPr>
        <w:t xml:space="preserve"> required.</w:t>
      </w:r>
    </w:p>
    <w:p w:rsidR="00D56439" w:rsidRDefault="00D56439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 w:rsidRPr="00D56439">
        <w:rPr>
          <w:rFonts w:ascii="Arial" w:hAnsi="Arial" w:cs="Arial"/>
        </w:rPr>
        <w:t xml:space="preserve">Encourage </w:t>
      </w:r>
      <w:r w:rsidR="00690084">
        <w:rPr>
          <w:rFonts w:ascii="Arial" w:hAnsi="Arial" w:cs="Arial"/>
        </w:rPr>
        <w:t>the person to look ahead when walking rather than down at their feet.</w:t>
      </w:r>
    </w:p>
    <w:p w:rsidR="00D56439" w:rsidRPr="00D56439" w:rsidRDefault="00CC062A" w:rsidP="00A91404">
      <w:pPr>
        <w:numPr>
          <w:ilvl w:val="0"/>
          <w:numId w:val="5"/>
        </w:numPr>
        <w:spacing w:after="120" w:line="276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Monitor and review the activity</w:t>
      </w:r>
      <w:r w:rsidR="0079445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report</w:t>
      </w:r>
      <w:r w:rsidR="00794451">
        <w:rPr>
          <w:rFonts w:ascii="Arial" w:hAnsi="Arial" w:cs="Arial"/>
        </w:rPr>
        <w:t xml:space="preserve">ing and / or updating changes </w:t>
      </w:r>
      <w:r>
        <w:rPr>
          <w:rFonts w:ascii="Arial" w:hAnsi="Arial" w:cs="Arial"/>
        </w:rPr>
        <w:t>as required.</w:t>
      </w:r>
    </w:p>
    <w:p w:rsidR="00EE57B3" w:rsidRDefault="00D56439" w:rsidP="00D84E21">
      <w:pPr>
        <w:spacing w:after="120" w:line="276" w:lineRule="auto"/>
        <w:ind w:right="-82"/>
        <w:rPr>
          <w:rFonts w:ascii="Arial" w:hAnsi="Arial" w:cs="Arial"/>
        </w:rPr>
      </w:pPr>
      <w:r w:rsidRPr="00D56439">
        <w:rPr>
          <w:rFonts w:ascii="Arial" w:hAnsi="Arial" w:cs="Arial"/>
        </w:rPr>
        <w:t xml:space="preserve">All staff involved in these tasks should be aware of the </w:t>
      </w:r>
      <w:hyperlink r:id="rId16" w:history="1">
        <w:r w:rsidRPr="003B2EF6">
          <w:rPr>
            <w:rStyle w:val="Hyperlink"/>
            <w:rFonts w:ascii="Arial" w:hAnsi="Arial" w:cs="Arial"/>
          </w:rPr>
          <w:t>falls guidance</w:t>
        </w:r>
      </w:hyperlink>
      <w:r w:rsidRPr="00D56439">
        <w:rPr>
          <w:rFonts w:ascii="Arial" w:hAnsi="Arial" w:cs="Arial"/>
        </w:rPr>
        <w:t xml:space="preserve"> and interventions if a fall does occur. Please refer to relevant </w:t>
      </w:r>
      <w:r w:rsidR="00D84E21">
        <w:rPr>
          <w:rFonts w:ascii="Arial" w:hAnsi="Arial" w:cs="Arial"/>
        </w:rPr>
        <w:t xml:space="preserve">local </w:t>
      </w:r>
      <w:r w:rsidRPr="00D56439">
        <w:rPr>
          <w:rFonts w:ascii="Arial" w:hAnsi="Arial" w:cs="Arial"/>
        </w:rPr>
        <w:t>risk assessment document</w:t>
      </w:r>
      <w:r w:rsidR="00D84E21">
        <w:rPr>
          <w:rFonts w:ascii="Arial" w:hAnsi="Arial" w:cs="Arial"/>
        </w:rPr>
        <w:t>ation as necessary</w:t>
      </w:r>
      <w:r w:rsidRPr="00D56439">
        <w:rPr>
          <w:rFonts w:ascii="Arial" w:hAnsi="Arial" w:cs="Arial"/>
        </w:rPr>
        <w:t>.</w:t>
      </w:r>
    </w:p>
    <w:p w:rsidR="00F4193E" w:rsidRPr="00A91404" w:rsidRDefault="00A91404" w:rsidP="00D84E21">
      <w:pPr>
        <w:spacing w:after="120" w:line="276" w:lineRule="auto"/>
        <w:ind w:right="-82"/>
        <w:rPr>
          <w:rFonts w:ascii="Arial" w:hAnsi="Arial" w:cs="Arial"/>
        </w:rPr>
      </w:pPr>
      <w:r w:rsidRPr="00A91404">
        <w:rPr>
          <w:rFonts w:ascii="Arial" w:hAnsi="Arial" w:cs="Arial"/>
        </w:rPr>
        <w:t>For further information, p</w:t>
      </w:r>
      <w:r w:rsidR="00F4193E" w:rsidRPr="00A91404">
        <w:rPr>
          <w:rFonts w:ascii="Arial" w:hAnsi="Arial" w:cs="Arial"/>
        </w:rPr>
        <w:t>leas</w:t>
      </w:r>
      <w:r w:rsidRPr="00A91404">
        <w:rPr>
          <w:rFonts w:ascii="Arial" w:hAnsi="Arial" w:cs="Arial"/>
        </w:rPr>
        <w:t>e visit our</w:t>
      </w:r>
      <w:r>
        <w:rPr>
          <w:rFonts w:ascii="Arial" w:hAnsi="Arial" w:cs="Arial"/>
        </w:rPr>
        <w:t xml:space="preserve"> Moving &amp; Handling</w:t>
      </w:r>
      <w:r w:rsidRPr="00A91404">
        <w:rPr>
          <w:rFonts w:ascii="Arial" w:hAnsi="Arial" w:cs="Arial"/>
        </w:rPr>
        <w:t xml:space="preserve"> </w:t>
      </w:r>
      <w:r w:rsidR="0099572E">
        <w:rPr>
          <w:rFonts w:ascii="Arial" w:hAnsi="Arial" w:cs="Arial"/>
        </w:rPr>
        <w:t>HR Connect</w:t>
      </w:r>
      <w:r w:rsidRPr="00A91404">
        <w:rPr>
          <w:rFonts w:ascii="Arial" w:hAnsi="Arial" w:cs="Arial"/>
        </w:rPr>
        <w:t xml:space="preserve"> pages </w:t>
      </w:r>
      <w:hyperlink r:id="rId17" w:history="1">
        <w:r w:rsidRPr="00A91404">
          <w:rPr>
            <w:rStyle w:val="Hyperlink"/>
            <w:rFonts w:ascii="Arial" w:hAnsi="Arial" w:cs="Arial"/>
          </w:rPr>
          <w:t>here</w:t>
        </w:r>
      </w:hyperlink>
      <w:r w:rsidRPr="00A91404">
        <w:rPr>
          <w:rFonts w:ascii="Arial" w:hAnsi="Arial" w:cs="Arial"/>
        </w:rPr>
        <w:t>.</w:t>
      </w:r>
    </w:p>
    <w:sectPr w:rsidR="00F4193E" w:rsidRPr="00A91404" w:rsidSect="00FC5E0E">
      <w:headerReference w:type="default" r:id="rId18"/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2BC" w:rsidRDefault="00B452BC">
      <w:r>
        <w:separator/>
      </w:r>
    </w:p>
  </w:endnote>
  <w:endnote w:type="continuationSeparator" w:id="0">
    <w:p w:rsidR="00B452BC" w:rsidRDefault="00B4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8B3" w:rsidRPr="006F48B3" w:rsidRDefault="00CC4945">
    <w:pPr>
      <w:pStyle w:val="Footer"/>
      <w:rPr>
        <w:sz w:val="16"/>
      </w:rPr>
    </w:pPr>
    <w:r>
      <w:rPr>
        <w:sz w:val="16"/>
      </w:rPr>
      <w:t>MH</w:t>
    </w:r>
    <w:r w:rsidR="00EE57B3">
      <w:rPr>
        <w:sz w:val="16"/>
      </w:rPr>
      <w:t xml:space="preserve"> </w:t>
    </w:r>
    <w:r w:rsidR="00FC5E0E">
      <w:rPr>
        <w:sz w:val="16"/>
      </w:rPr>
      <w:t>Guidance</w:t>
    </w:r>
    <w:r w:rsidR="00BC5E02">
      <w:rPr>
        <w:sz w:val="16"/>
      </w:rPr>
      <w:t xml:space="preserve">, </w:t>
    </w:r>
    <w:r w:rsidR="00A91404">
      <w:rPr>
        <w:sz w:val="16"/>
      </w:rPr>
      <w:t>March</w:t>
    </w:r>
    <w:r w:rsidR="00BC5E02">
      <w:rPr>
        <w:sz w:val="16"/>
      </w:rPr>
      <w:t xml:space="preserve"> 2014</w:t>
    </w:r>
    <w:r w:rsidR="00A91404">
      <w:rPr>
        <w:sz w:val="16"/>
      </w:rPr>
      <w:t xml:space="preserve"> (V0.2</w:t>
    </w:r>
    <w:r w:rsidR="00FC5E0E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2BC" w:rsidRDefault="00B452BC">
      <w:r>
        <w:separator/>
      </w:r>
    </w:p>
  </w:footnote>
  <w:footnote w:type="continuationSeparator" w:id="0">
    <w:p w:rsidR="00B452BC" w:rsidRDefault="00B45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45" w:rsidRDefault="0099572E" w:rsidP="00CC4945">
    <w:pPr>
      <w:spacing w:after="120"/>
      <w:rPr>
        <w:rFonts w:ascii="Arial" w:hAnsi="Arial" w:cs="Arial"/>
        <w:b/>
        <w:color w:val="333399"/>
        <w:sz w:val="28"/>
        <w:szCs w:val="28"/>
      </w:rPr>
    </w:pPr>
    <w:r w:rsidRPr="00167964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-6350</wp:posOffset>
          </wp:positionV>
          <wp:extent cx="701675" cy="504825"/>
          <wp:effectExtent l="0" t="0" r="3175" b="9525"/>
          <wp:wrapTight wrapText="bothSides">
            <wp:wrapPolygon edited="0">
              <wp:start x="0" y="0"/>
              <wp:lineTo x="0" y="21192"/>
              <wp:lineTo x="21111" y="21192"/>
              <wp:lineTo x="21111" y="0"/>
              <wp:lineTo x="0" y="0"/>
            </wp:wrapPolygon>
          </wp:wrapTight>
          <wp:docPr id="2" name="Picture 2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C05">
      <w:rPr>
        <w:rFonts w:ascii="Arial" w:hAnsi="Arial" w:cs="Arial"/>
        <w:b/>
        <w:color w:val="333399"/>
        <w:sz w:val="28"/>
        <w:szCs w:val="28"/>
      </w:rPr>
      <w:t>Moving and Handling</w:t>
    </w:r>
  </w:p>
  <w:p w:rsidR="00CC4945" w:rsidRPr="00283C05" w:rsidRDefault="0099572E" w:rsidP="00CC4945">
    <w:pPr>
      <w:spacing w:after="120"/>
      <w:rPr>
        <w:rFonts w:ascii="Arial" w:hAnsi="Arial" w:cs="Arial"/>
        <w:b/>
        <w:color w:val="5F5F5F"/>
        <w:szCs w:val="28"/>
      </w:rPr>
    </w:pPr>
    <w:r w:rsidRPr="00283C05">
      <w:rPr>
        <w:noProof/>
        <w:color w:val="5F5F5F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215900</wp:posOffset>
              </wp:positionV>
              <wp:extent cx="6057900" cy="0"/>
              <wp:effectExtent l="15240" t="13335" r="13335" b="1524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32DFE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pt" to="477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" strokecolor="gray" strokeweight="1.5pt"/>
          </w:pict>
        </mc:Fallback>
      </mc:AlternateContent>
    </w:r>
    <w:r w:rsidR="00FC5E0E">
      <w:rPr>
        <w:rFonts w:ascii="Arial" w:hAnsi="Arial" w:cs="Arial"/>
        <w:b/>
        <w:color w:val="5F5F5F"/>
        <w:szCs w:val="28"/>
      </w:rPr>
      <w:t>Guidance</w:t>
    </w:r>
    <w:r w:rsidR="00D56439">
      <w:rPr>
        <w:rFonts w:ascii="Arial" w:hAnsi="Arial" w:cs="Arial"/>
        <w:b/>
        <w:color w:val="5F5F5F"/>
        <w:szCs w:val="28"/>
      </w:rPr>
      <w:t xml:space="preserve"> - Mobilising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24BB2"/>
    <w:multiLevelType w:val="hybridMultilevel"/>
    <w:tmpl w:val="28ACA3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452F5F6"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B2344"/>
    <w:multiLevelType w:val="hybridMultilevel"/>
    <w:tmpl w:val="2D22EE46"/>
    <w:lvl w:ilvl="0" w:tplc="4978E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D149F6"/>
    <w:multiLevelType w:val="hybridMultilevel"/>
    <w:tmpl w:val="F0EC41C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157EB0"/>
    <w:multiLevelType w:val="hybridMultilevel"/>
    <w:tmpl w:val="D06EAC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8C43CE"/>
    <w:multiLevelType w:val="hybridMultilevel"/>
    <w:tmpl w:val="F6CEFD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5A"/>
    <w:rsid w:val="000236B5"/>
    <w:rsid w:val="000B04D7"/>
    <w:rsid w:val="001201D3"/>
    <w:rsid w:val="001802F4"/>
    <w:rsid w:val="00182BA1"/>
    <w:rsid w:val="001856D0"/>
    <w:rsid w:val="001C75CB"/>
    <w:rsid w:val="001F7F32"/>
    <w:rsid w:val="00253F30"/>
    <w:rsid w:val="00283C05"/>
    <w:rsid w:val="002D773F"/>
    <w:rsid w:val="002E3C6C"/>
    <w:rsid w:val="0039024A"/>
    <w:rsid w:val="003B2EF6"/>
    <w:rsid w:val="003C7F1F"/>
    <w:rsid w:val="003E04A9"/>
    <w:rsid w:val="0041361B"/>
    <w:rsid w:val="00440379"/>
    <w:rsid w:val="00451538"/>
    <w:rsid w:val="0046642A"/>
    <w:rsid w:val="00467A48"/>
    <w:rsid w:val="004B44CB"/>
    <w:rsid w:val="00544B55"/>
    <w:rsid w:val="005912F1"/>
    <w:rsid w:val="005E0882"/>
    <w:rsid w:val="005E2FC6"/>
    <w:rsid w:val="00637FCE"/>
    <w:rsid w:val="00684FDB"/>
    <w:rsid w:val="00690084"/>
    <w:rsid w:val="006B0599"/>
    <w:rsid w:val="006E345F"/>
    <w:rsid w:val="006F3E97"/>
    <w:rsid w:val="006F48B3"/>
    <w:rsid w:val="00711033"/>
    <w:rsid w:val="007449EF"/>
    <w:rsid w:val="00794451"/>
    <w:rsid w:val="0079799E"/>
    <w:rsid w:val="00797ED3"/>
    <w:rsid w:val="007D18F3"/>
    <w:rsid w:val="008670A9"/>
    <w:rsid w:val="0099572E"/>
    <w:rsid w:val="00A713B5"/>
    <w:rsid w:val="00A91404"/>
    <w:rsid w:val="00AA0E17"/>
    <w:rsid w:val="00AD7F88"/>
    <w:rsid w:val="00B452BC"/>
    <w:rsid w:val="00B941DB"/>
    <w:rsid w:val="00BC5E02"/>
    <w:rsid w:val="00C07E2E"/>
    <w:rsid w:val="00C44BFD"/>
    <w:rsid w:val="00C63838"/>
    <w:rsid w:val="00CA77E6"/>
    <w:rsid w:val="00CC062A"/>
    <w:rsid w:val="00CC4945"/>
    <w:rsid w:val="00CF625A"/>
    <w:rsid w:val="00D10AA4"/>
    <w:rsid w:val="00D251D2"/>
    <w:rsid w:val="00D35230"/>
    <w:rsid w:val="00D56439"/>
    <w:rsid w:val="00D81200"/>
    <w:rsid w:val="00D84E21"/>
    <w:rsid w:val="00DB6C5F"/>
    <w:rsid w:val="00DC26FF"/>
    <w:rsid w:val="00DD13C2"/>
    <w:rsid w:val="00E4448E"/>
    <w:rsid w:val="00EB7D4E"/>
    <w:rsid w:val="00EC2FAE"/>
    <w:rsid w:val="00EE57B3"/>
    <w:rsid w:val="00F4193E"/>
    <w:rsid w:val="00FA2C4A"/>
    <w:rsid w:val="00FC5296"/>
    <w:rsid w:val="00FC5E0E"/>
    <w:rsid w:val="00FD3CEF"/>
    <w:rsid w:val="00FF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777"/>
    </o:shapedefaults>
    <o:shapelayout v:ext="edit">
      <o:idmap v:ext="edit" data="2"/>
      <o:regrouptable v:ext="edit">
        <o:entry new="1" old="0"/>
        <o:entry new="2" old="0"/>
        <o:entry new="3" old="0"/>
      </o:regrouptable>
    </o:shapelayout>
  </w:shapeDefaults>
  <w:decimalSymbol w:val="."/>
  <w:listSeparator w:val=","/>
  <w15:chartTrackingRefBased/>
  <w15:docId w15:val="{15EDB1D8-C2D4-4AA8-B33F-4AC270A7F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43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F48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F48B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A2C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11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nhsggc.scot/staff-recruitment/hrconnect/safety-health-and-wellbeing/moving-and-handl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affnet.ggc.scot.nhs.uk/Acute/Rehab%20Assessment/Falls%20Services/Pages/defaultbbc4c21b05d14695845d724d458d4a58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79DA99B1BD4BD4B3A2CD01722BCB2F" ma:contentTypeVersion="1" ma:contentTypeDescription="Create a new document." ma:contentTypeScope="" ma:versionID="91c00b945a39503748a01c7b1f46fac8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35e20c2be3d08708963ae4beea44dc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9E4C54-A29D-4F11-BA47-782C6F827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B1EAC5F-14A8-4BC8-9E26-8B0D6A62E81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CA37A29-174A-4583-AEAA-3988CFE80C90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Assessors guidelines for hoist usage</vt:lpstr>
    </vt:vector>
  </TitlesOfParts>
  <Company>NHSGGC</Company>
  <LinksUpToDate>false</LinksUpToDate>
  <CharactersWithSpaces>2000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http://www.staffnet.ggc.scot.nhs.uk/Info Centre/Health and Safety/Moving and Handling/Pages/MovingandHandlingHandoutsInformationSheets.aspx</vt:lpwstr>
      </vt:variant>
      <vt:variant>
        <vt:lpwstr/>
      </vt:variant>
      <vt:variant>
        <vt:i4>5308496</vt:i4>
      </vt:variant>
      <vt:variant>
        <vt:i4>0</vt:i4>
      </vt:variant>
      <vt:variant>
        <vt:i4>0</vt:i4>
      </vt:variant>
      <vt:variant>
        <vt:i4>5</vt:i4>
      </vt:variant>
      <vt:variant>
        <vt:lpwstr>http://www.staffnet.ggc.scot.nhs.uk/Acute/Rehab Assessment/Falls Services/Pages/defaultbbc4c21b05d14695845d724d458d4a58.aspx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Assessors guidelines for hoist usage</dc:title>
  <dc:subject/>
  <dc:creator>JODONNELL3</dc:creator>
  <cp:keywords/>
  <dc:description/>
  <cp:lastModifiedBy>Clark, Andrew</cp:lastModifiedBy>
  <cp:revision>2</cp:revision>
  <cp:lastPrinted>2014-03-18T08:35:00Z</cp:lastPrinted>
  <dcterms:created xsi:type="dcterms:W3CDTF">2023-03-06T14:45:00Z</dcterms:created>
  <dcterms:modified xsi:type="dcterms:W3CDTF">2023-03-06T14:45:00Z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