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9FF" w:rsidRDefault="003569FF" w:rsidP="002A6AF7">
      <w:pPr>
        <w:jc w:val="right"/>
      </w:pPr>
    </w:p>
    <w:p w:rsidR="003569FF" w:rsidRDefault="003569FF" w:rsidP="002A6AF7">
      <w:pPr>
        <w:jc w:val="right"/>
      </w:pPr>
    </w:p>
    <w:p w:rsidR="00B74C1F" w:rsidRDefault="002A6AF7" w:rsidP="002A6AF7">
      <w:pPr>
        <w:jc w:val="right"/>
      </w:pPr>
      <w:r>
        <w:rPr>
          <w:noProof/>
        </w:rPr>
        <w:drawing>
          <wp:inline distT="0" distB="0" distL="0" distR="0">
            <wp:extent cx="1285921" cy="926013"/>
            <wp:effectExtent l="19050" t="0" r="9479" b="0"/>
            <wp:docPr id="2" name="Picture 1" descr="Z:\CORPORATE PLANNING &amp; POLICY\Corporate Inequalities\CIT ADMIN\008Templates\Logos\NHSGG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RPORATE PLANNING &amp; POLICY\Corporate Inequalities\CIT ADMIN\008Templates\Logos\NHSGGC Logo.jpg"/>
                    <pic:cNvPicPr>
                      <a:picLocks noChangeAspect="1" noChangeArrowheads="1"/>
                    </pic:cNvPicPr>
                  </pic:nvPicPr>
                  <pic:blipFill>
                    <a:blip r:embed="rId8" cstate="print"/>
                    <a:srcRect/>
                    <a:stretch>
                      <a:fillRect/>
                    </a:stretch>
                  </pic:blipFill>
                  <pic:spPr bwMode="auto">
                    <a:xfrm>
                      <a:off x="0" y="0"/>
                      <a:ext cx="1285921" cy="926013"/>
                    </a:xfrm>
                    <a:prstGeom prst="rect">
                      <a:avLst/>
                    </a:prstGeom>
                    <a:noFill/>
                    <a:ln w="9525">
                      <a:noFill/>
                      <a:miter lim="800000"/>
                      <a:headEnd/>
                      <a:tailEnd/>
                    </a:ln>
                  </pic:spPr>
                </pic:pic>
              </a:graphicData>
            </a:graphic>
          </wp:inline>
        </w:drawing>
      </w:r>
    </w:p>
    <w:p w:rsidR="00C56133" w:rsidRDefault="00C56133" w:rsidP="002A6AF7">
      <w:pPr>
        <w:tabs>
          <w:tab w:val="clear" w:pos="720"/>
          <w:tab w:val="clear" w:pos="4680"/>
          <w:tab w:val="clear" w:pos="5400"/>
          <w:tab w:val="clear" w:pos="9000"/>
          <w:tab w:val="left" w:pos="426"/>
          <w:tab w:val="right" w:pos="9907"/>
        </w:tabs>
        <w:spacing w:line="276" w:lineRule="auto"/>
        <w:rPr>
          <w:rFonts w:eastAsia="Calibri" w:cs="Arial"/>
          <w:szCs w:val="24"/>
          <w:lang w:eastAsia="en-US"/>
        </w:rPr>
      </w:pPr>
    </w:p>
    <w:p w:rsidR="003569FF" w:rsidRDefault="003569FF" w:rsidP="00BE1F41">
      <w:pPr>
        <w:tabs>
          <w:tab w:val="clear" w:pos="720"/>
          <w:tab w:val="clear" w:pos="4680"/>
          <w:tab w:val="clear" w:pos="5400"/>
          <w:tab w:val="clear" w:pos="9000"/>
          <w:tab w:val="left" w:pos="426"/>
          <w:tab w:val="right" w:pos="9907"/>
        </w:tabs>
        <w:spacing w:line="276" w:lineRule="auto"/>
        <w:rPr>
          <w:rFonts w:eastAsia="Calibri" w:cs="Arial"/>
          <w:b/>
          <w:szCs w:val="24"/>
          <w:lang w:eastAsia="en-US"/>
        </w:rPr>
      </w:pPr>
    </w:p>
    <w:p w:rsidR="003569FF" w:rsidRDefault="003569FF" w:rsidP="00BE1F41">
      <w:pPr>
        <w:tabs>
          <w:tab w:val="clear" w:pos="720"/>
          <w:tab w:val="clear" w:pos="4680"/>
          <w:tab w:val="clear" w:pos="5400"/>
          <w:tab w:val="clear" w:pos="9000"/>
          <w:tab w:val="left" w:pos="426"/>
          <w:tab w:val="right" w:pos="9907"/>
        </w:tabs>
        <w:spacing w:line="276" w:lineRule="auto"/>
        <w:rPr>
          <w:rFonts w:eastAsia="Calibri" w:cs="Arial"/>
          <w:b/>
          <w:szCs w:val="24"/>
          <w:lang w:eastAsia="en-US"/>
        </w:rPr>
      </w:pPr>
    </w:p>
    <w:p w:rsidR="003569FF" w:rsidRDefault="003569FF" w:rsidP="00BE1F41">
      <w:pPr>
        <w:tabs>
          <w:tab w:val="clear" w:pos="720"/>
          <w:tab w:val="clear" w:pos="4680"/>
          <w:tab w:val="clear" w:pos="5400"/>
          <w:tab w:val="clear" w:pos="9000"/>
          <w:tab w:val="left" w:pos="426"/>
          <w:tab w:val="right" w:pos="9907"/>
        </w:tabs>
        <w:spacing w:line="276" w:lineRule="auto"/>
        <w:rPr>
          <w:rFonts w:eastAsia="Calibri" w:cs="Arial"/>
          <w:b/>
          <w:szCs w:val="24"/>
          <w:lang w:eastAsia="en-US"/>
        </w:rPr>
      </w:pPr>
    </w:p>
    <w:p w:rsidR="003569FF" w:rsidRDefault="003569FF" w:rsidP="00BE1F41">
      <w:pPr>
        <w:tabs>
          <w:tab w:val="clear" w:pos="720"/>
          <w:tab w:val="clear" w:pos="4680"/>
          <w:tab w:val="clear" w:pos="5400"/>
          <w:tab w:val="clear" w:pos="9000"/>
          <w:tab w:val="left" w:pos="426"/>
          <w:tab w:val="right" w:pos="9907"/>
        </w:tabs>
        <w:spacing w:line="276" w:lineRule="auto"/>
        <w:rPr>
          <w:rFonts w:eastAsia="Calibri" w:cs="Arial"/>
          <w:b/>
          <w:szCs w:val="24"/>
          <w:lang w:eastAsia="en-US"/>
        </w:rPr>
      </w:pPr>
    </w:p>
    <w:p w:rsidR="003569FF" w:rsidRDefault="003569FF" w:rsidP="00BE1F41">
      <w:pPr>
        <w:tabs>
          <w:tab w:val="clear" w:pos="720"/>
          <w:tab w:val="clear" w:pos="4680"/>
          <w:tab w:val="clear" w:pos="5400"/>
          <w:tab w:val="clear" w:pos="9000"/>
          <w:tab w:val="left" w:pos="426"/>
          <w:tab w:val="right" w:pos="9907"/>
        </w:tabs>
        <w:spacing w:line="276" w:lineRule="auto"/>
        <w:rPr>
          <w:rFonts w:eastAsia="Calibri" w:cs="Arial"/>
          <w:b/>
          <w:szCs w:val="24"/>
          <w:lang w:eastAsia="en-US"/>
        </w:rPr>
      </w:pPr>
    </w:p>
    <w:p w:rsidR="00BE1F41" w:rsidRPr="00E05FF1" w:rsidRDefault="00D41B38" w:rsidP="00E05FF1">
      <w:pPr>
        <w:tabs>
          <w:tab w:val="clear" w:pos="720"/>
          <w:tab w:val="clear" w:pos="4680"/>
          <w:tab w:val="clear" w:pos="5400"/>
          <w:tab w:val="clear" w:pos="9000"/>
          <w:tab w:val="left" w:pos="426"/>
          <w:tab w:val="right" w:pos="9907"/>
        </w:tabs>
        <w:spacing w:line="276" w:lineRule="auto"/>
        <w:jc w:val="left"/>
        <w:rPr>
          <w:rFonts w:ascii="Verdana" w:eastAsia="Calibri" w:hAnsi="Verdana" w:cs="Arial"/>
          <w:b/>
          <w:szCs w:val="24"/>
          <w:lang w:eastAsia="en-US"/>
        </w:rPr>
      </w:pPr>
      <w:r w:rsidRPr="00E05FF1">
        <w:rPr>
          <w:rFonts w:ascii="Verdana" w:eastAsia="Calibri" w:hAnsi="Verdana" w:cs="Arial"/>
          <w:b/>
          <w:szCs w:val="24"/>
          <w:lang w:eastAsia="en-US"/>
        </w:rPr>
        <w:t>Meeting</w:t>
      </w:r>
      <w:r w:rsidR="00BE1F41" w:rsidRPr="00E05FF1">
        <w:rPr>
          <w:rFonts w:ascii="Verdana" w:eastAsia="Calibri" w:hAnsi="Verdana" w:cs="Arial"/>
          <w:b/>
          <w:szCs w:val="24"/>
          <w:lang w:eastAsia="en-US"/>
        </w:rPr>
        <w:t xml:space="preserve"> the requirements of equality legislation</w:t>
      </w:r>
      <w:r w:rsidRPr="00E05FF1">
        <w:rPr>
          <w:rFonts w:ascii="Verdana" w:eastAsia="Calibri" w:hAnsi="Verdana" w:cs="Arial"/>
          <w:b/>
          <w:szCs w:val="24"/>
          <w:lang w:eastAsia="en-US"/>
        </w:rPr>
        <w:t xml:space="preserve"> in Integrated Succession, Career and Development Planning</w:t>
      </w:r>
    </w:p>
    <w:p w:rsidR="00D41B38" w:rsidRPr="00E05FF1" w:rsidRDefault="00D41B38" w:rsidP="00E05FF1">
      <w:pPr>
        <w:tabs>
          <w:tab w:val="clear" w:pos="720"/>
          <w:tab w:val="clear" w:pos="4680"/>
          <w:tab w:val="clear" w:pos="5400"/>
          <w:tab w:val="clear" w:pos="9000"/>
          <w:tab w:val="left" w:pos="426"/>
          <w:tab w:val="right" w:pos="9907"/>
        </w:tabs>
        <w:spacing w:line="276" w:lineRule="auto"/>
        <w:jc w:val="left"/>
        <w:rPr>
          <w:rFonts w:ascii="Verdana" w:eastAsia="Calibri" w:hAnsi="Verdana" w:cs="Arial"/>
          <w:b/>
          <w:szCs w:val="24"/>
          <w:lang w:eastAsia="en-US"/>
        </w:rPr>
      </w:pPr>
    </w:p>
    <w:p w:rsidR="003569FF" w:rsidRPr="00E05FF1" w:rsidRDefault="00BE1F41" w:rsidP="00E05FF1">
      <w:pPr>
        <w:tabs>
          <w:tab w:val="clear" w:pos="720"/>
          <w:tab w:val="clear" w:pos="4680"/>
          <w:tab w:val="clear" w:pos="5400"/>
          <w:tab w:val="clear" w:pos="9000"/>
          <w:tab w:val="left" w:pos="426"/>
          <w:tab w:val="right" w:pos="9907"/>
        </w:tabs>
        <w:spacing w:line="276" w:lineRule="auto"/>
        <w:jc w:val="left"/>
        <w:rPr>
          <w:rFonts w:ascii="Verdana" w:hAnsi="Verdana" w:cs="Arial"/>
          <w:szCs w:val="24"/>
        </w:rPr>
      </w:pPr>
      <w:r w:rsidRPr="00E05FF1">
        <w:rPr>
          <w:rFonts w:ascii="Verdana" w:hAnsi="Verdana" w:cs="Arial"/>
          <w:szCs w:val="24"/>
        </w:rPr>
        <w:t xml:space="preserve">Decisions made by managers on Integrated Succession, Career and Development Planning </w:t>
      </w:r>
      <w:r w:rsidR="00D41B38" w:rsidRPr="00E05FF1">
        <w:rPr>
          <w:rFonts w:ascii="Verdana" w:hAnsi="Verdana" w:cs="Arial"/>
          <w:szCs w:val="24"/>
        </w:rPr>
        <w:t xml:space="preserve">need to take into account NHSGGC’s requirements under </w:t>
      </w:r>
      <w:r w:rsidR="003569FF" w:rsidRPr="00E05FF1">
        <w:rPr>
          <w:rFonts w:ascii="Verdana" w:hAnsi="Verdana" w:cs="Arial"/>
          <w:szCs w:val="24"/>
        </w:rPr>
        <w:t>the Eq</w:t>
      </w:r>
      <w:r w:rsidR="00D41B38" w:rsidRPr="00E05FF1">
        <w:rPr>
          <w:rFonts w:ascii="Verdana" w:hAnsi="Verdana" w:cs="Arial"/>
          <w:szCs w:val="24"/>
        </w:rPr>
        <w:t xml:space="preserve">uality </w:t>
      </w:r>
      <w:r w:rsidR="003569FF" w:rsidRPr="00E05FF1">
        <w:rPr>
          <w:rFonts w:ascii="Verdana" w:hAnsi="Verdana" w:cs="Arial"/>
          <w:szCs w:val="24"/>
        </w:rPr>
        <w:t>Act (2010) in relation to our staff</w:t>
      </w:r>
      <w:r w:rsidR="00D41B38" w:rsidRPr="00E05FF1">
        <w:rPr>
          <w:rStyle w:val="FootnoteReference"/>
          <w:rFonts w:ascii="Verdana" w:hAnsi="Verdana" w:cs="Arial"/>
          <w:szCs w:val="24"/>
        </w:rPr>
        <w:footnoteReference w:id="1"/>
      </w:r>
      <w:r w:rsidR="00D41B38" w:rsidRPr="00E05FF1">
        <w:rPr>
          <w:rFonts w:ascii="Verdana" w:hAnsi="Verdana" w:cs="Arial"/>
          <w:szCs w:val="24"/>
        </w:rPr>
        <w:t xml:space="preserve">. </w:t>
      </w:r>
      <w:r w:rsidR="003569FF" w:rsidRPr="00E05FF1">
        <w:rPr>
          <w:rFonts w:ascii="Verdana" w:hAnsi="Verdana" w:cs="Arial"/>
          <w:szCs w:val="24"/>
        </w:rPr>
        <w:t>This means ensuring that all our processes are free from discrimination.</w:t>
      </w:r>
    </w:p>
    <w:p w:rsidR="003569FF" w:rsidRPr="00E05FF1" w:rsidRDefault="003569FF" w:rsidP="00E05FF1">
      <w:pPr>
        <w:tabs>
          <w:tab w:val="clear" w:pos="720"/>
          <w:tab w:val="clear" w:pos="4680"/>
          <w:tab w:val="clear" w:pos="5400"/>
          <w:tab w:val="clear" w:pos="9000"/>
          <w:tab w:val="left" w:pos="426"/>
          <w:tab w:val="right" w:pos="9907"/>
        </w:tabs>
        <w:spacing w:line="276" w:lineRule="auto"/>
        <w:jc w:val="left"/>
        <w:rPr>
          <w:rFonts w:ascii="Verdana" w:hAnsi="Verdana" w:cs="Arial"/>
          <w:szCs w:val="24"/>
        </w:rPr>
      </w:pPr>
    </w:p>
    <w:p w:rsidR="00D41B38" w:rsidRPr="00E05FF1" w:rsidRDefault="003569FF" w:rsidP="00E05FF1">
      <w:pPr>
        <w:tabs>
          <w:tab w:val="clear" w:pos="720"/>
          <w:tab w:val="clear" w:pos="4680"/>
          <w:tab w:val="clear" w:pos="5400"/>
          <w:tab w:val="clear" w:pos="9000"/>
          <w:tab w:val="left" w:pos="426"/>
          <w:tab w:val="right" w:pos="9907"/>
        </w:tabs>
        <w:spacing w:line="276" w:lineRule="auto"/>
        <w:jc w:val="left"/>
        <w:rPr>
          <w:rFonts w:ascii="Verdana" w:hAnsi="Verdana" w:cs="Arial"/>
          <w:szCs w:val="24"/>
        </w:rPr>
      </w:pPr>
      <w:r w:rsidRPr="00E05FF1">
        <w:rPr>
          <w:rFonts w:ascii="Verdana" w:hAnsi="Verdana" w:cs="Arial"/>
          <w:szCs w:val="24"/>
        </w:rPr>
        <w:t>While managers do not set out to discriminate e</w:t>
      </w:r>
      <w:r w:rsidR="00D41B38" w:rsidRPr="00E05FF1">
        <w:rPr>
          <w:rFonts w:ascii="Verdana" w:hAnsi="Verdana" w:cs="Arial"/>
          <w:szCs w:val="24"/>
        </w:rPr>
        <w:t>vidence has shown that our assessments are often affected by unconscious bias</w:t>
      </w:r>
      <w:r w:rsidRPr="00E05FF1">
        <w:rPr>
          <w:rFonts w:ascii="Verdana" w:hAnsi="Verdana" w:cs="Arial"/>
          <w:szCs w:val="24"/>
        </w:rPr>
        <w:t xml:space="preserve">. This can lead to: a lack of diversity within our workforce; occupational segregation; or ‘glass ceilings’ which prevent certain groups achieving their full potential. </w:t>
      </w:r>
    </w:p>
    <w:p w:rsidR="003569FF" w:rsidRPr="00E05FF1" w:rsidRDefault="003569FF" w:rsidP="00E05FF1">
      <w:pPr>
        <w:tabs>
          <w:tab w:val="clear" w:pos="720"/>
          <w:tab w:val="clear" w:pos="4680"/>
          <w:tab w:val="clear" w:pos="5400"/>
          <w:tab w:val="clear" w:pos="9000"/>
          <w:tab w:val="left" w:pos="426"/>
          <w:tab w:val="right" w:pos="9907"/>
        </w:tabs>
        <w:spacing w:line="276" w:lineRule="auto"/>
        <w:jc w:val="left"/>
        <w:rPr>
          <w:rFonts w:ascii="Verdana" w:eastAsia="Calibri" w:hAnsi="Verdana" w:cs="Arial"/>
          <w:szCs w:val="24"/>
          <w:lang w:eastAsia="en-US"/>
        </w:rPr>
      </w:pPr>
    </w:p>
    <w:p w:rsidR="00BE1F41" w:rsidRPr="00E05FF1" w:rsidRDefault="00D41B38" w:rsidP="00E05FF1">
      <w:pPr>
        <w:tabs>
          <w:tab w:val="clear" w:pos="720"/>
          <w:tab w:val="clear" w:pos="4680"/>
          <w:tab w:val="clear" w:pos="5400"/>
          <w:tab w:val="clear" w:pos="9000"/>
          <w:tab w:val="left" w:pos="426"/>
          <w:tab w:val="right" w:pos="9907"/>
        </w:tabs>
        <w:spacing w:line="276" w:lineRule="auto"/>
        <w:jc w:val="left"/>
        <w:rPr>
          <w:rFonts w:ascii="Verdana" w:eastAsiaTheme="minorHAnsi" w:hAnsi="Verdana" w:cs="Arial"/>
          <w:color w:val="000000"/>
          <w:szCs w:val="24"/>
          <w:lang w:eastAsia="en-US"/>
        </w:rPr>
      </w:pPr>
      <w:r w:rsidRPr="00E05FF1">
        <w:rPr>
          <w:rFonts w:ascii="Verdana" w:eastAsiaTheme="minorHAnsi" w:hAnsi="Verdana" w:cs="Arial"/>
          <w:color w:val="000000"/>
          <w:szCs w:val="24"/>
          <w:lang w:eastAsia="en-US"/>
        </w:rPr>
        <w:t>One example of this is the number of women who enter</w:t>
      </w:r>
      <w:r w:rsidR="003569FF" w:rsidRPr="00E05FF1">
        <w:rPr>
          <w:rFonts w:ascii="Verdana" w:eastAsiaTheme="minorHAnsi" w:hAnsi="Verdana" w:cs="Arial"/>
          <w:color w:val="000000"/>
          <w:szCs w:val="24"/>
          <w:lang w:eastAsia="en-US"/>
        </w:rPr>
        <w:t xml:space="preserve"> science, technology, engineering and maths (STEM) professions. </w:t>
      </w:r>
      <w:r w:rsidR="003569FF" w:rsidRPr="00E05FF1">
        <w:rPr>
          <w:rFonts w:ascii="Verdana" w:hAnsi="Verdana" w:cs="Arial"/>
          <w:szCs w:val="24"/>
        </w:rPr>
        <w:t>It is estimated that only 25% of people employed in the STEM sector are women.</w:t>
      </w:r>
      <w:r w:rsidR="003569FF" w:rsidRPr="00E05FF1">
        <w:rPr>
          <w:rFonts w:ascii="Verdana" w:eastAsiaTheme="minorHAnsi" w:hAnsi="Verdana" w:cs="Arial"/>
          <w:color w:val="000000"/>
          <w:szCs w:val="24"/>
          <w:lang w:eastAsia="en-US"/>
        </w:rPr>
        <w:t xml:space="preserve"> </w:t>
      </w:r>
      <w:r w:rsidR="00BE1F41" w:rsidRPr="00E05FF1">
        <w:rPr>
          <w:rFonts w:ascii="Verdana" w:eastAsiaTheme="minorHAnsi" w:hAnsi="Verdana" w:cs="Arial"/>
          <w:color w:val="000000"/>
          <w:szCs w:val="24"/>
          <w:lang w:eastAsia="en-US"/>
        </w:rPr>
        <w:t>Equate Scotland</w:t>
      </w:r>
      <w:r w:rsidR="00BE1F41" w:rsidRPr="00E05FF1">
        <w:rPr>
          <w:rStyle w:val="FootnoteReference"/>
          <w:rFonts w:ascii="Verdana" w:eastAsiaTheme="minorHAnsi" w:hAnsi="Verdana" w:cs="Arial"/>
          <w:color w:val="000000"/>
          <w:szCs w:val="24"/>
          <w:lang w:eastAsia="en-US"/>
        </w:rPr>
        <w:footnoteReference w:id="2"/>
      </w:r>
      <w:r w:rsidR="00BE1F41" w:rsidRPr="00E05FF1">
        <w:rPr>
          <w:rFonts w:ascii="Verdana" w:eastAsiaTheme="minorHAnsi" w:hAnsi="Verdana" w:cs="Arial"/>
          <w:color w:val="000000"/>
          <w:szCs w:val="24"/>
          <w:lang w:eastAsia="en-US"/>
        </w:rPr>
        <w:t xml:space="preserve">, which supports women </w:t>
      </w:r>
      <w:r w:rsidR="003569FF" w:rsidRPr="00E05FF1">
        <w:rPr>
          <w:rFonts w:ascii="Verdana" w:eastAsiaTheme="minorHAnsi" w:hAnsi="Verdana" w:cs="Arial"/>
          <w:color w:val="000000"/>
          <w:szCs w:val="24"/>
          <w:lang w:eastAsia="en-US"/>
        </w:rPr>
        <w:t>into STEM</w:t>
      </w:r>
      <w:r w:rsidR="00BE1F41" w:rsidRPr="00E05FF1">
        <w:rPr>
          <w:rFonts w:ascii="Verdana" w:eastAsiaTheme="minorHAnsi" w:hAnsi="Verdana" w:cs="Arial"/>
          <w:color w:val="000000"/>
          <w:szCs w:val="24"/>
          <w:lang w:eastAsia="en-US"/>
        </w:rPr>
        <w:t xml:space="preserve"> suggest that unconscious bias has contributed to the low numbers of women</w:t>
      </w:r>
      <w:r w:rsidR="00BE1F41" w:rsidRPr="00E05FF1">
        <w:rPr>
          <w:rFonts w:ascii="Verdana" w:eastAsiaTheme="minorHAnsi" w:hAnsi="Verdana" w:cs="Arial"/>
          <w:szCs w:val="24"/>
          <w:lang w:eastAsia="en-US"/>
        </w:rPr>
        <w:t xml:space="preserve">. </w:t>
      </w:r>
      <w:r w:rsidR="00BE1F41" w:rsidRPr="00E05FF1">
        <w:rPr>
          <w:rFonts w:ascii="Verdana" w:eastAsiaTheme="minorHAnsi" w:hAnsi="Verdana" w:cs="Arial"/>
          <w:color w:val="000000"/>
          <w:szCs w:val="24"/>
          <w:lang w:eastAsia="en-US"/>
        </w:rPr>
        <w:t xml:space="preserve">Unconscious bias refers to a bias that we are unaware of, and which happens outside our control. It happens automatically and is triggered by our brains making quick judgments and assessments of people and situations, influenced by our background, cultural environment and personal experiences. This can impact on recruitment </w:t>
      </w:r>
      <w:r w:rsidR="003569FF" w:rsidRPr="00E05FF1">
        <w:rPr>
          <w:rFonts w:ascii="Verdana" w:eastAsiaTheme="minorHAnsi" w:hAnsi="Verdana" w:cs="Arial"/>
          <w:color w:val="000000"/>
          <w:szCs w:val="24"/>
          <w:lang w:eastAsia="en-US"/>
        </w:rPr>
        <w:t xml:space="preserve">and selection </w:t>
      </w:r>
      <w:r w:rsidR="00BE1F41" w:rsidRPr="00E05FF1">
        <w:rPr>
          <w:rFonts w:ascii="Verdana" w:eastAsiaTheme="minorHAnsi" w:hAnsi="Verdana" w:cs="Arial"/>
          <w:color w:val="000000"/>
          <w:szCs w:val="24"/>
          <w:lang w:eastAsia="en-US"/>
        </w:rPr>
        <w:t>processes where there is a tendency for managers to appoint people similar to themselves.</w:t>
      </w:r>
    </w:p>
    <w:p w:rsidR="00BE1F41" w:rsidRPr="00E05FF1" w:rsidRDefault="00BE1F41" w:rsidP="00E05FF1">
      <w:pPr>
        <w:tabs>
          <w:tab w:val="clear" w:pos="720"/>
          <w:tab w:val="clear" w:pos="4680"/>
          <w:tab w:val="clear" w:pos="5400"/>
          <w:tab w:val="clear" w:pos="9000"/>
          <w:tab w:val="left" w:pos="426"/>
          <w:tab w:val="right" w:pos="9907"/>
        </w:tabs>
        <w:spacing w:line="276" w:lineRule="auto"/>
        <w:jc w:val="left"/>
        <w:rPr>
          <w:rFonts w:ascii="Verdana" w:eastAsiaTheme="minorHAnsi" w:hAnsi="Verdana" w:cs="Arial"/>
          <w:color w:val="000000"/>
          <w:szCs w:val="24"/>
          <w:lang w:eastAsia="en-US"/>
        </w:rPr>
      </w:pPr>
    </w:p>
    <w:p w:rsidR="00BE1F41" w:rsidRPr="00E05FF1" w:rsidRDefault="00BE1F41" w:rsidP="00E05FF1">
      <w:pPr>
        <w:tabs>
          <w:tab w:val="clear" w:pos="720"/>
          <w:tab w:val="clear" w:pos="4680"/>
          <w:tab w:val="clear" w:pos="5400"/>
          <w:tab w:val="clear" w:pos="9000"/>
          <w:tab w:val="left" w:pos="426"/>
          <w:tab w:val="right" w:pos="9907"/>
        </w:tabs>
        <w:spacing w:line="276" w:lineRule="auto"/>
        <w:jc w:val="left"/>
        <w:rPr>
          <w:rFonts w:ascii="Verdana" w:eastAsiaTheme="minorHAnsi" w:hAnsi="Verdana" w:cs="Arial"/>
          <w:color w:val="000000"/>
          <w:szCs w:val="24"/>
          <w:lang w:eastAsia="en-US"/>
        </w:rPr>
      </w:pPr>
      <w:r w:rsidRPr="00E05FF1">
        <w:rPr>
          <w:rFonts w:ascii="Verdana" w:eastAsiaTheme="minorHAnsi" w:hAnsi="Verdana" w:cs="Arial"/>
          <w:noProof/>
          <w:color w:val="000000"/>
          <w:szCs w:val="24"/>
        </w:rPr>
        <w:lastRenderedPageBreak/>
        <w:drawing>
          <wp:inline distT="0" distB="0" distL="0" distR="0">
            <wp:extent cx="5731510" cy="2429446"/>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31510" cy="2429446"/>
                    </a:xfrm>
                    <a:prstGeom prst="rect">
                      <a:avLst/>
                    </a:prstGeom>
                    <a:noFill/>
                    <a:ln w="9525">
                      <a:noFill/>
                      <a:miter lim="800000"/>
                      <a:headEnd/>
                      <a:tailEnd/>
                    </a:ln>
                  </pic:spPr>
                </pic:pic>
              </a:graphicData>
            </a:graphic>
          </wp:inline>
        </w:drawing>
      </w:r>
    </w:p>
    <w:p w:rsidR="003569FF" w:rsidRPr="00E05FF1" w:rsidRDefault="003569FF" w:rsidP="00E05FF1">
      <w:pPr>
        <w:spacing w:line="276" w:lineRule="auto"/>
        <w:jc w:val="left"/>
        <w:rPr>
          <w:rFonts w:ascii="Verdana" w:eastAsia="Calibri" w:hAnsi="Verdana" w:cs="Arial"/>
          <w:szCs w:val="24"/>
          <w:lang w:eastAsia="en-US"/>
        </w:rPr>
      </w:pPr>
    </w:p>
    <w:p w:rsidR="00BE1F41" w:rsidRPr="00E05FF1" w:rsidRDefault="00BE1F41" w:rsidP="00E05FF1">
      <w:pPr>
        <w:spacing w:line="276" w:lineRule="auto"/>
        <w:jc w:val="left"/>
        <w:rPr>
          <w:rFonts w:ascii="Verdana" w:eastAsia="Calibri" w:hAnsi="Verdana" w:cs="Arial"/>
          <w:szCs w:val="24"/>
          <w:lang w:eastAsia="en-US"/>
        </w:rPr>
      </w:pPr>
      <w:r w:rsidRPr="00E05FF1">
        <w:rPr>
          <w:rFonts w:ascii="Verdana" w:eastAsia="Calibri" w:hAnsi="Verdana" w:cs="Arial"/>
          <w:szCs w:val="24"/>
          <w:lang w:eastAsia="en-US"/>
        </w:rPr>
        <w:t xml:space="preserve">An understanding of unconscious bias is essential in </w:t>
      </w:r>
      <w:r w:rsidRPr="00E05FF1">
        <w:rPr>
          <w:rFonts w:ascii="Verdana" w:eastAsiaTheme="minorHAnsi" w:hAnsi="Verdana" w:cs="Arial"/>
          <w:color w:val="000000"/>
          <w:szCs w:val="24"/>
          <w:lang w:eastAsia="en-US"/>
        </w:rPr>
        <w:t xml:space="preserve">increasing </w:t>
      </w:r>
      <w:r w:rsidRPr="00E05FF1">
        <w:rPr>
          <w:rFonts w:ascii="Verdana" w:eastAsia="Calibri" w:hAnsi="Verdana" w:cs="Arial"/>
          <w:szCs w:val="24"/>
          <w:lang w:eastAsia="en-US"/>
        </w:rPr>
        <w:t xml:space="preserve">equality, diversity and inclusion and ensuring that there is equal access to career progression </w:t>
      </w:r>
      <w:r w:rsidR="003569FF" w:rsidRPr="00E05FF1">
        <w:rPr>
          <w:rFonts w:ascii="Verdana" w:eastAsia="Calibri" w:hAnsi="Verdana" w:cs="Arial"/>
          <w:szCs w:val="24"/>
          <w:lang w:eastAsia="en-US"/>
        </w:rPr>
        <w:t xml:space="preserve">opportunities across all the protected characteristics named in the Equality Act 2010: </w:t>
      </w:r>
      <w:r w:rsidR="003569FF" w:rsidRPr="00E05FF1">
        <w:rPr>
          <w:rFonts w:ascii="Verdana" w:hAnsi="Verdana" w:cs="Arial"/>
          <w:szCs w:val="24"/>
        </w:rPr>
        <w:t>age, disability, gender reassignment, marriage &amp; civil partnership, pregnancy &amp; maternity, sex, race, religion &amp; belief and sexual orientation.</w:t>
      </w:r>
    </w:p>
    <w:p w:rsidR="00BE1F41" w:rsidRPr="00E05FF1" w:rsidRDefault="00BE1F41" w:rsidP="00E05FF1">
      <w:pPr>
        <w:spacing w:line="276" w:lineRule="auto"/>
        <w:jc w:val="left"/>
        <w:rPr>
          <w:rFonts w:ascii="Verdana" w:eastAsia="Calibri" w:hAnsi="Verdana" w:cs="Arial"/>
          <w:szCs w:val="24"/>
          <w:lang w:eastAsia="en-US"/>
        </w:rPr>
      </w:pPr>
    </w:p>
    <w:p w:rsidR="00CC4D90" w:rsidRPr="00E05FF1" w:rsidRDefault="003569FF" w:rsidP="00E05FF1">
      <w:pPr>
        <w:tabs>
          <w:tab w:val="clear" w:pos="720"/>
          <w:tab w:val="clear" w:pos="4680"/>
          <w:tab w:val="clear" w:pos="5400"/>
          <w:tab w:val="clear" w:pos="9000"/>
          <w:tab w:val="left" w:pos="426"/>
          <w:tab w:val="right" w:pos="9907"/>
        </w:tabs>
        <w:spacing w:line="276" w:lineRule="auto"/>
        <w:jc w:val="left"/>
        <w:rPr>
          <w:rFonts w:ascii="Verdana" w:eastAsia="Calibri" w:hAnsi="Verdana" w:cs="Arial"/>
          <w:szCs w:val="24"/>
          <w:lang w:eastAsia="en-US"/>
        </w:rPr>
      </w:pPr>
      <w:r w:rsidRPr="00E05FF1">
        <w:rPr>
          <w:rFonts w:ascii="Verdana" w:eastAsia="Calibri" w:hAnsi="Verdana" w:cs="Arial"/>
          <w:szCs w:val="24"/>
          <w:lang w:eastAsia="en-US"/>
        </w:rPr>
        <w:t xml:space="preserve">NHSGGC has a diverse population and </w:t>
      </w:r>
      <w:r w:rsidR="00BE1F41" w:rsidRPr="00E05FF1">
        <w:rPr>
          <w:rFonts w:ascii="Verdana" w:eastAsia="Calibri" w:hAnsi="Verdana" w:cs="Arial"/>
          <w:szCs w:val="24"/>
          <w:lang w:eastAsia="en-US"/>
        </w:rPr>
        <w:t>Figure 1</w:t>
      </w:r>
      <w:r w:rsidRPr="00E05FF1">
        <w:rPr>
          <w:rFonts w:ascii="Verdana" w:eastAsia="Calibri" w:hAnsi="Verdana" w:cs="Arial"/>
          <w:szCs w:val="24"/>
          <w:lang w:eastAsia="en-US"/>
        </w:rPr>
        <w:t>.</w:t>
      </w:r>
      <w:r w:rsidR="00C56133" w:rsidRPr="00E05FF1">
        <w:rPr>
          <w:rFonts w:ascii="Verdana" w:eastAsia="Calibri" w:hAnsi="Verdana" w:cs="Arial"/>
          <w:szCs w:val="24"/>
          <w:lang w:eastAsia="en-US"/>
        </w:rPr>
        <w:t xml:space="preserve"> shows th</w:t>
      </w:r>
      <w:r w:rsidRPr="00E05FF1">
        <w:rPr>
          <w:rFonts w:ascii="Verdana" w:eastAsia="Calibri" w:hAnsi="Verdana" w:cs="Arial"/>
          <w:szCs w:val="24"/>
          <w:lang w:eastAsia="en-US"/>
        </w:rPr>
        <w:t xml:space="preserve">is </w:t>
      </w:r>
      <w:r w:rsidR="00C56133" w:rsidRPr="00E05FF1">
        <w:rPr>
          <w:rFonts w:ascii="Verdana" w:eastAsia="Calibri" w:hAnsi="Verdana" w:cs="Arial"/>
          <w:szCs w:val="24"/>
          <w:lang w:eastAsia="en-US"/>
        </w:rPr>
        <w:t>using local data* where available or national d</w:t>
      </w:r>
      <w:r w:rsidR="0025518A" w:rsidRPr="00E05FF1">
        <w:rPr>
          <w:rFonts w:ascii="Verdana" w:eastAsia="Calibri" w:hAnsi="Verdana" w:cs="Arial"/>
          <w:szCs w:val="24"/>
          <w:lang w:eastAsia="en-US"/>
        </w:rPr>
        <w:t>ata** where this is unavailable</w:t>
      </w:r>
      <w:r w:rsidR="00C56133" w:rsidRPr="00E05FF1">
        <w:rPr>
          <w:rFonts w:ascii="Verdana" w:eastAsia="Calibri" w:hAnsi="Verdana" w:cs="Arial"/>
          <w:szCs w:val="24"/>
          <w:lang w:eastAsia="en-US"/>
        </w:rPr>
        <w:t xml:space="preserve">. </w:t>
      </w:r>
      <w:r w:rsidR="00134CE7" w:rsidRPr="00E05FF1">
        <w:rPr>
          <w:rFonts w:ascii="Verdana" w:eastAsia="Calibri" w:hAnsi="Verdana" w:cs="Arial"/>
          <w:szCs w:val="24"/>
          <w:lang w:eastAsia="en-US"/>
        </w:rPr>
        <w:t xml:space="preserve">This gives a picture of the relative </w:t>
      </w:r>
      <w:r w:rsidR="00C56133" w:rsidRPr="00E05FF1">
        <w:rPr>
          <w:rFonts w:ascii="Verdana" w:eastAsia="Calibri" w:hAnsi="Verdana" w:cs="Arial"/>
          <w:szCs w:val="24"/>
          <w:lang w:eastAsia="en-US"/>
        </w:rPr>
        <w:t>size of different groups</w:t>
      </w:r>
      <w:r w:rsidR="002F5156" w:rsidRPr="00E05FF1">
        <w:rPr>
          <w:rFonts w:ascii="Verdana" w:eastAsia="Calibri" w:hAnsi="Verdana" w:cs="Arial"/>
          <w:szCs w:val="24"/>
          <w:lang w:eastAsia="en-US"/>
        </w:rPr>
        <w:t xml:space="preserve"> in our population by protected characteristic</w:t>
      </w:r>
      <w:r w:rsidR="00134CE7" w:rsidRPr="00E05FF1">
        <w:rPr>
          <w:rFonts w:ascii="Verdana" w:eastAsia="Calibri" w:hAnsi="Verdana" w:cs="Arial"/>
          <w:szCs w:val="24"/>
          <w:lang w:eastAsia="en-US"/>
        </w:rPr>
        <w:t xml:space="preserve">. </w:t>
      </w:r>
    </w:p>
    <w:p w:rsidR="00134CE7" w:rsidRPr="00E05FF1" w:rsidRDefault="00134CE7" w:rsidP="00E05FF1">
      <w:pPr>
        <w:tabs>
          <w:tab w:val="clear" w:pos="720"/>
          <w:tab w:val="clear" w:pos="4680"/>
          <w:tab w:val="clear" w:pos="5400"/>
          <w:tab w:val="clear" w:pos="9000"/>
          <w:tab w:val="left" w:pos="426"/>
          <w:tab w:val="right" w:pos="9907"/>
        </w:tabs>
        <w:spacing w:line="276" w:lineRule="auto"/>
        <w:jc w:val="left"/>
        <w:rPr>
          <w:rFonts w:ascii="Verdana" w:eastAsia="Calibri" w:hAnsi="Verdana" w:cs="Arial"/>
          <w:szCs w:val="24"/>
          <w:lang w:eastAsia="en-US"/>
        </w:rPr>
      </w:pPr>
    </w:p>
    <w:p w:rsidR="00134CE7" w:rsidRPr="00E05FF1" w:rsidRDefault="00BE1F41" w:rsidP="00E05FF1">
      <w:pPr>
        <w:tabs>
          <w:tab w:val="clear" w:pos="720"/>
          <w:tab w:val="clear" w:pos="4680"/>
          <w:tab w:val="clear" w:pos="5400"/>
          <w:tab w:val="clear" w:pos="9000"/>
          <w:tab w:val="left" w:pos="426"/>
          <w:tab w:val="right" w:pos="9907"/>
        </w:tabs>
        <w:spacing w:line="276" w:lineRule="auto"/>
        <w:jc w:val="left"/>
        <w:rPr>
          <w:rFonts w:ascii="Verdana" w:eastAsia="Calibri" w:hAnsi="Verdana" w:cs="Arial"/>
          <w:b/>
          <w:szCs w:val="24"/>
          <w:lang w:eastAsia="en-US"/>
        </w:rPr>
      </w:pPr>
      <w:r w:rsidRPr="00E05FF1">
        <w:rPr>
          <w:rFonts w:ascii="Verdana" w:eastAsia="Calibri" w:hAnsi="Verdana" w:cs="Arial"/>
          <w:b/>
          <w:szCs w:val="24"/>
          <w:lang w:eastAsia="en-US"/>
        </w:rPr>
        <w:t>Figure 1</w:t>
      </w:r>
      <w:r w:rsidR="00134CE7" w:rsidRPr="00E05FF1">
        <w:rPr>
          <w:rFonts w:ascii="Verdana" w:eastAsia="Calibri" w:hAnsi="Verdana" w:cs="Arial"/>
          <w:b/>
          <w:szCs w:val="24"/>
          <w:lang w:eastAsia="en-US"/>
        </w:rPr>
        <w:t xml:space="preserve">. </w:t>
      </w:r>
      <w:r w:rsidR="00C56133" w:rsidRPr="00E05FF1">
        <w:rPr>
          <w:rFonts w:ascii="Verdana" w:eastAsia="Calibri" w:hAnsi="Verdana" w:cs="Arial"/>
          <w:b/>
          <w:szCs w:val="24"/>
          <w:lang w:eastAsia="en-US"/>
        </w:rPr>
        <w:t>Estimation of NHSGGC’s Diverse Population</w:t>
      </w:r>
    </w:p>
    <w:p w:rsidR="008835BD" w:rsidRPr="00E05FF1" w:rsidRDefault="008835BD" w:rsidP="00E05FF1">
      <w:pPr>
        <w:tabs>
          <w:tab w:val="clear" w:pos="720"/>
          <w:tab w:val="clear" w:pos="4680"/>
          <w:tab w:val="clear" w:pos="5400"/>
          <w:tab w:val="clear" w:pos="9000"/>
          <w:tab w:val="left" w:pos="426"/>
          <w:tab w:val="right" w:pos="9907"/>
        </w:tabs>
        <w:spacing w:line="276" w:lineRule="auto"/>
        <w:jc w:val="left"/>
        <w:rPr>
          <w:rFonts w:ascii="Verdana" w:eastAsia="Calibri" w:hAnsi="Verdana" w:cs="Arial"/>
          <w:szCs w:val="24"/>
          <w:lang w:eastAsia="en-US"/>
        </w:rPr>
      </w:pPr>
    </w:p>
    <w:tbl>
      <w:tblPr>
        <w:tblStyle w:val="TableGrid"/>
        <w:tblW w:w="9606" w:type="dxa"/>
        <w:tblLook w:val="04A0" w:firstRow="1" w:lastRow="0" w:firstColumn="1" w:lastColumn="0" w:noHBand="0" w:noVBand="1"/>
      </w:tblPr>
      <w:tblGrid>
        <w:gridCol w:w="2235"/>
        <w:gridCol w:w="7371"/>
      </w:tblGrid>
      <w:tr w:rsidR="00CC4D90" w:rsidRPr="00E05FF1" w:rsidTr="00523ABE">
        <w:tc>
          <w:tcPr>
            <w:tcW w:w="2235" w:type="dxa"/>
            <w:shd w:val="clear" w:color="auto" w:fill="D9D9D9" w:themeFill="background1" w:themeFillShade="D9"/>
          </w:tcPr>
          <w:p w:rsidR="00CC4D90" w:rsidRPr="00E05FF1" w:rsidRDefault="00523ABE" w:rsidP="00E05FF1">
            <w:pPr>
              <w:spacing w:line="276" w:lineRule="auto"/>
              <w:jc w:val="left"/>
              <w:rPr>
                <w:rFonts w:ascii="Verdana" w:hAnsi="Verdana" w:cs="Arial"/>
                <w:b/>
                <w:szCs w:val="24"/>
              </w:rPr>
            </w:pPr>
            <w:r w:rsidRPr="00E05FF1">
              <w:rPr>
                <w:rFonts w:ascii="Verdana" w:hAnsi="Verdana" w:cs="Arial"/>
                <w:b/>
                <w:szCs w:val="24"/>
              </w:rPr>
              <w:t>Protected Characteristic</w:t>
            </w:r>
          </w:p>
          <w:p w:rsidR="00523ABE" w:rsidRPr="00E05FF1" w:rsidRDefault="00523ABE" w:rsidP="00E05FF1">
            <w:pPr>
              <w:spacing w:line="276" w:lineRule="auto"/>
              <w:jc w:val="left"/>
              <w:rPr>
                <w:rFonts w:ascii="Verdana" w:hAnsi="Verdana" w:cs="Arial"/>
                <w:b/>
                <w:szCs w:val="24"/>
              </w:rPr>
            </w:pPr>
          </w:p>
        </w:tc>
        <w:tc>
          <w:tcPr>
            <w:tcW w:w="7371" w:type="dxa"/>
            <w:shd w:val="clear" w:color="auto" w:fill="D9D9D9" w:themeFill="background1" w:themeFillShade="D9"/>
          </w:tcPr>
          <w:p w:rsidR="00CC4D90" w:rsidRPr="00E05FF1" w:rsidRDefault="00523ABE" w:rsidP="00E05FF1">
            <w:pPr>
              <w:spacing w:line="276" w:lineRule="auto"/>
              <w:jc w:val="left"/>
              <w:rPr>
                <w:rFonts w:ascii="Verdana" w:hAnsi="Verdana" w:cs="Arial"/>
                <w:b/>
                <w:szCs w:val="24"/>
              </w:rPr>
            </w:pPr>
            <w:r w:rsidRPr="00E05FF1">
              <w:rPr>
                <w:rFonts w:ascii="Verdana" w:hAnsi="Verdana" w:cs="Arial"/>
                <w:b/>
                <w:szCs w:val="24"/>
              </w:rPr>
              <w:t>Estimation</w:t>
            </w:r>
          </w:p>
        </w:tc>
      </w:tr>
      <w:tr w:rsidR="00523ABE" w:rsidRPr="00E05FF1" w:rsidTr="00523ABE">
        <w:tc>
          <w:tcPr>
            <w:tcW w:w="2235" w:type="dxa"/>
            <w:shd w:val="clear" w:color="auto" w:fill="D9D9D9" w:themeFill="background1" w:themeFillShade="D9"/>
          </w:tcPr>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Sex*</w:t>
            </w:r>
          </w:p>
        </w:tc>
        <w:tc>
          <w:tcPr>
            <w:tcW w:w="7371" w:type="dxa"/>
          </w:tcPr>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 xml:space="preserve">51% </w:t>
            </w:r>
            <w:r w:rsidR="002F5156" w:rsidRPr="00E05FF1">
              <w:rPr>
                <w:rFonts w:ascii="Verdana" w:hAnsi="Verdana" w:cs="Arial"/>
                <w:szCs w:val="24"/>
              </w:rPr>
              <w:t xml:space="preserve">women  and 49% men </w:t>
            </w:r>
          </w:p>
          <w:p w:rsidR="00523ABE" w:rsidRPr="00E05FF1" w:rsidRDefault="00523ABE" w:rsidP="00E05FF1">
            <w:pPr>
              <w:spacing w:line="276" w:lineRule="auto"/>
              <w:jc w:val="left"/>
              <w:rPr>
                <w:rFonts w:ascii="Verdana" w:hAnsi="Verdana" w:cs="Arial"/>
                <w:szCs w:val="24"/>
              </w:rPr>
            </w:pPr>
          </w:p>
        </w:tc>
      </w:tr>
      <w:tr w:rsidR="00523ABE" w:rsidRPr="00E05FF1" w:rsidTr="00523ABE">
        <w:tc>
          <w:tcPr>
            <w:tcW w:w="2235" w:type="dxa"/>
            <w:shd w:val="clear" w:color="auto" w:fill="D9D9D9" w:themeFill="background1" w:themeFillShade="D9"/>
          </w:tcPr>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Ethnicity*</w:t>
            </w:r>
          </w:p>
        </w:tc>
        <w:tc>
          <w:tcPr>
            <w:tcW w:w="7371" w:type="dxa"/>
          </w:tcPr>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12%</w:t>
            </w:r>
            <w:r w:rsidR="002F5156" w:rsidRPr="00E05FF1">
              <w:rPr>
                <w:rFonts w:ascii="Verdana" w:hAnsi="Verdana" w:cs="Arial"/>
                <w:szCs w:val="24"/>
              </w:rPr>
              <w:t xml:space="preserve"> Glasgow</w:t>
            </w:r>
          </w:p>
          <w:p w:rsidR="00523ABE" w:rsidRPr="00E05FF1" w:rsidRDefault="002F5156" w:rsidP="00E05FF1">
            <w:pPr>
              <w:spacing w:line="276" w:lineRule="auto"/>
              <w:jc w:val="left"/>
              <w:rPr>
                <w:rFonts w:ascii="Verdana" w:hAnsi="Verdana" w:cs="Arial"/>
                <w:szCs w:val="24"/>
              </w:rPr>
            </w:pPr>
            <w:r w:rsidRPr="00E05FF1">
              <w:rPr>
                <w:rFonts w:ascii="Verdana" w:hAnsi="Verdana" w:cs="Arial"/>
                <w:szCs w:val="24"/>
              </w:rPr>
              <w:t>(</w:t>
            </w:r>
            <w:r w:rsidR="00523ABE" w:rsidRPr="00E05FF1">
              <w:rPr>
                <w:rFonts w:ascii="Verdana" w:hAnsi="Verdana" w:cs="Arial"/>
                <w:szCs w:val="24"/>
              </w:rPr>
              <w:t>Next highest is East Renfrewshire at 6%</w:t>
            </w:r>
            <w:r w:rsidRPr="00E05FF1">
              <w:rPr>
                <w:rFonts w:ascii="Verdana" w:hAnsi="Verdana" w:cs="Arial"/>
                <w:szCs w:val="24"/>
              </w:rPr>
              <w:t>)</w:t>
            </w:r>
          </w:p>
          <w:p w:rsidR="00523ABE" w:rsidRPr="00E05FF1" w:rsidRDefault="00523ABE" w:rsidP="00E05FF1">
            <w:pPr>
              <w:spacing w:line="276" w:lineRule="auto"/>
              <w:jc w:val="left"/>
              <w:rPr>
                <w:rFonts w:ascii="Verdana" w:hAnsi="Verdana" w:cs="Arial"/>
                <w:szCs w:val="24"/>
              </w:rPr>
            </w:pPr>
          </w:p>
        </w:tc>
      </w:tr>
      <w:tr w:rsidR="00523ABE" w:rsidRPr="00E05FF1" w:rsidTr="00523ABE">
        <w:tc>
          <w:tcPr>
            <w:tcW w:w="2235" w:type="dxa"/>
            <w:shd w:val="clear" w:color="auto" w:fill="D9D9D9" w:themeFill="background1" w:themeFillShade="D9"/>
          </w:tcPr>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Disability**</w:t>
            </w:r>
          </w:p>
        </w:tc>
        <w:tc>
          <w:tcPr>
            <w:tcW w:w="7371" w:type="dxa"/>
          </w:tcPr>
          <w:p w:rsidR="00523ABE" w:rsidRPr="00E05FF1" w:rsidRDefault="002F5156" w:rsidP="00E05FF1">
            <w:pPr>
              <w:spacing w:line="276" w:lineRule="auto"/>
              <w:jc w:val="left"/>
              <w:rPr>
                <w:rFonts w:ascii="Verdana" w:hAnsi="Verdana" w:cs="Arial"/>
                <w:szCs w:val="24"/>
              </w:rPr>
            </w:pPr>
            <w:r w:rsidRPr="00E05FF1">
              <w:rPr>
                <w:rFonts w:ascii="Verdana" w:hAnsi="Verdana" w:cs="Arial"/>
                <w:szCs w:val="24"/>
              </w:rPr>
              <w:t>19% working age population</w:t>
            </w:r>
            <w:r w:rsidR="00523ABE" w:rsidRPr="00E05FF1">
              <w:rPr>
                <w:rFonts w:ascii="Verdana" w:hAnsi="Verdana" w:cs="Arial"/>
                <w:szCs w:val="24"/>
              </w:rPr>
              <w:t xml:space="preserve"> </w:t>
            </w:r>
          </w:p>
          <w:p w:rsidR="00523ABE" w:rsidRPr="00E05FF1" w:rsidRDefault="00523ABE" w:rsidP="00E05FF1">
            <w:pPr>
              <w:spacing w:line="276" w:lineRule="auto"/>
              <w:jc w:val="left"/>
              <w:rPr>
                <w:rFonts w:ascii="Verdana" w:hAnsi="Verdana" w:cs="Arial"/>
                <w:szCs w:val="24"/>
              </w:rPr>
            </w:pPr>
          </w:p>
        </w:tc>
      </w:tr>
      <w:tr w:rsidR="00523ABE" w:rsidRPr="00E05FF1" w:rsidTr="00523ABE">
        <w:tc>
          <w:tcPr>
            <w:tcW w:w="2235" w:type="dxa"/>
            <w:shd w:val="clear" w:color="auto" w:fill="D9D9D9" w:themeFill="background1" w:themeFillShade="D9"/>
          </w:tcPr>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Sexual Orientation**</w:t>
            </w:r>
          </w:p>
        </w:tc>
        <w:tc>
          <w:tcPr>
            <w:tcW w:w="7371" w:type="dxa"/>
          </w:tcPr>
          <w:p w:rsidR="00523ABE" w:rsidRPr="00E05FF1" w:rsidRDefault="002F5156" w:rsidP="00E05FF1">
            <w:pPr>
              <w:spacing w:line="276" w:lineRule="auto"/>
              <w:jc w:val="left"/>
              <w:rPr>
                <w:rFonts w:ascii="Verdana" w:hAnsi="Verdana" w:cs="Arial"/>
                <w:szCs w:val="24"/>
              </w:rPr>
            </w:pPr>
            <w:r w:rsidRPr="00E05FF1">
              <w:rPr>
                <w:rFonts w:ascii="Verdana" w:hAnsi="Verdana" w:cs="Arial"/>
                <w:szCs w:val="24"/>
              </w:rPr>
              <w:t>6%</w:t>
            </w:r>
            <w:r w:rsidR="00523ABE" w:rsidRPr="00E05FF1">
              <w:rPr>
                <w:rFonts w:ascii="Verdana" w:hAnsi="Verdana" w:cs="Arial"/>
                <w:szCs w:val="24"/>
              </w:rPr>
              <w:t xml:space="preserve"> </w:t>
            </w:r>
            <w:r w:rsidR="00BE1F41" w:rsidRPr="00E05FF1">
              <w:rPr>
                <w:rFonts w:ascii="Verdana" w:hAnsi="Verdana" w:cs="Arial"/>
                <w:szCs w:val="24"/>
              </w:rPr>
              <w:t>of the population</w:t>
            </w:r>
          </w:p>
          <w:p w:rsidR="00523ABE" w:rsidRPr="00E05FF1" w:rsidRDefault="00523ABE" w:rsidP="00E05FF1">
            <w:pPr>
              <w:spacing w:line="276" w:lineRule="auto"/>
              <w:jc w:val="left"/>
              <w:rPr>
                <w:rFonts w:ascii="Verdana" w:hAnsi="Verdana" w:cs="Arial"/>
                <w:szCs w:val="24"/>
              </w:rPr>
            </w:pPr>
          </w:p>
        </w:tc>
      </w:tr>
      <w:tr w:rsidR="00523ABE" w:rsidRPr="00E05FF1" w:rsidTr="00523ABE">
        <w:tc>
          <w:tcPr>
            <w:tcW w:w="2235" w:type="dxa"/>
            <w:shd w:val="clear" w:color="auto" w:fill="D9D9D9" w:themeFill="background1" w:themeFillShade="D9"/>
          </w:tcPr>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Religion*</w:t>
            </w:r>
          </w:p>
        </w:tc>
        <w:tc>
          <w:tcPr>
            <w:tcW w:w="7371" w:type="dxa"/>
          </w:tcPr>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31% no religion</w:t>
            </w:r>
          </w:p>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27% Roman Catholic</w:t>
            </w:r>
          </w:p>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23% Church of Scotland</w:t>
            </w:r>
          </w:p>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5% Muslim</w:t>
            </w:r>
          </w:p>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4% other Christian</w:t>
            </w:r>
          </w:p>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1% Hindu</w:t>
            </w:r>
          </w:p>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lastRenderedPageBreak/>
              <w:t>1% Buddhist</w:t>
            </w:r>
          </w:p>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1% Sikh</w:t>
            </w:r>
          </w:p>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7% not stated</w:t>
            </w:r>
          </w:p>
          <w:p w:rsidR="00523ABE" w:rsidRPr="00E05FF1" w:rsidRDefault="00523ABE" w:rsidP="00E05FF1">
            <w:pPr>
              <w:spacing w:line="276" w:lineRule="auto"/>
              <w:jc w:val="left"/>
              <w:rPr>
                <w:rFonts w:ascii="Verdana" w:hAnsi="Verdana" w:cs="Arial"/>
                <w:szCs w:val="24"/>
              </w:rPr>
            </w:pPr>
          </w:p>
        </w:tc>
      </w:tr>
      <w:tr w:rsidR="00523ABE" w:rsidRPr="00E05FF1" w:rsidTr="00523ABE">
        <w:tc>
          <w:tcPr>
            <w:tcW w:w="2235" w:type="dxa"/>
            <w:shd w:val="clear" w:color="auto" w:fill="D9D9D9" w:themeFill="background1" w:themeFillShade="D9"/>
          </w:tcPr>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lastRenderedPageBreak/>
              <w:t>Age*</w:t>
            </w:r>
          </w:p>
        </w:tc>
        <w:tc>
          <w:tcPr>
            <w:tcW w:w="7371" w:type="dxa"/>
          </w:tcPr>
          <w:p w:rsidR="00523ABE" w:rsidRPr="00E05FF1" w:rsidRDefault="002F5156" w:rsidP="00E05FF1">
            <w:pPr>
              <w:spacing w:line="276" w:lineRule="auto"/>
              <w:jc w:val="left"/>
              <w:rPr>
                <w:rFonts w:ascii="Verdana" w:hAnsi="Verdana" w:cs="Arial"/>
                <w:szCs w:val="24"/>
              </w:rPr>
            </w:pPr>
            <w:r w:rsidRPr="00E05FF1">
              <w:rPr>
                <w:rFonts w:ascii="Verdana" w:hAnsi="Verdana" w:cs="Arial"/>
                <w:szCs w:val="24"/>
              </w:rPr>
              <w:t xml:space="preserve">18% </w:t>
            </w:r>
            <w:r w:rsidR="00523ABE" w:rsidRPr="00E05FF1">
              <w:rPr>
                <w:rFonts w:ascii="Verdana" w:hAnsi="Verdana" w:cs="Arial"/>
                <w:szCs w:val="24"/>
              </w:rPr>
              <w:t xml:space="preserve">0-17 </w:t>
            </w:r>
          </w:p>
          <w:p w:rsidR="00523ABE" w:rsidRPr="00E05FF1" w:rsidRDefault="002F5156" w:rsidP="00E05FF1">
            <w:pPr>
              <w:spacing w:line="276" w:lineRule="auto"/>
              <w:jc w:val="left"/>
              <w:rPr>
                <w:rFonts w:ascii="Verdana" w:hAnsi="Verdana" w:cs="Arial"/>
                <w:szCs w:val="24"/>
              </w:rPr>
            </w:pPr>
            <w:r w:rsidRPr="00E05FF1">
              <w:rPr>
                <w:rFonts w:ascii="Verdana" w:hAnsi="Verdana" w:cs="Arial"/>
                <w:szCs w:val="24"/>
              </w:rPr>
              <w:t xml:space="preserve">57% </w:t>
            </w:r>
            <w:r w:rsidR="00523ABE" w:rsidRPr="00E05FF1">
              <w:rPr>
                <w:rFonts w:ascii="Verdana" w:hAnsi="Verdana" w:cs="Arial"/>
                <w:szCs w:val="24"/>
              </w:rPr>
              <w:t xml:space="preserve">18-54 </w:t>
            </w:r>
          </w:p>
          <w:p w:rsidR="00523ABE" w:rsidRPr="00E05FF1" w:rsidRDefault="002F5156" w:rsidP="00E05FF1">
            <w:pPr>
              <w:spacing w:line="276" w:lineRule="auto"/>
              <w:jc w:val="left"/>
              <w:rPr>
                <w:rFonts w:ascii="Verdana" w:hAnsi="Verdana" w:cs="Arial"/>
                <w:szCs w:val="24"/>
              </w:rPr>
            </w:pPr>
            <w:r w:rsidRPr="00E05FF1">
              <w:rPr>
                <w:rFonts w:ascii="Verdana" w:hAnsi="Verdana" w:cs="Arial"/>
                <w:szCs w:val="24"/>
              </w:rPr>
              <w:t xml:space="preserve">18% </w:t>
            </w:r>
            <w:r w:rsidR="00523ABE" w:rsidRPr="00E05FF1">
              <w:rPr>
                <w:rFonts w:ascii="Verdana" w:hAnsi="Verdana" w:cs="Arial"/>
                <w:szCs w:val="24"/>
              </w:rPr>
              <w:t xml:space="preserve">55-75 </w:t>
            </w:r>
          </w:p>
          <w:p w:rsidR="00523ABE" w:rsidRPr="00E05FF1" w:rsidRDefault="002F5156" w:rsidP="00E05FF1">
            <w:pPr>
              <w:spacing w:line="276" w:lineRule="auto"/>
              <w:jc w:val="left"/>
              <w:rPr>
                <w:rFonts w:ascii="Verdana" w:hAnsi="Verdana" w:cs="Arial"/>
                <w:szCs w:val="24"/>
              </w:rPr>
            </w:pPr>
            <w:r w:rsidRPr="00E05FF1">
              <w:rPr>
                <w:rFonts w:ascii="Verdana" w:hAnsi="Verdana" w:cs="Arial"/>
                <w:szCs w:val="24"/>
              </w:rPr>
              <w:t xml:space="preserve">7% </w:t>
            </w:r>
            <w:r w:rsidR="00523ABE" w:rsidRPr="00E05FF1">
              <w:rPr>
                <w:rFonts w:ascii="Verdana" w:hAnsi="Verdana" w:cs="Arial"/>
                <w:szCs w:val="24"/>
              </w:rPr>
              <w:t xml:space="preserve">over 75 </w:t>
            </w:r>
          </w:p>
          <w:p w:rsidR="00523ABE" w:rsidRPr="00E05FF1" w:rsidRDefault="00523ABE" w:rsidP="00E05FF1">
            <w:pPr>
              <w:spacing w:line="276" w:lineRule="auto"/>
              <w:jc w:val="left"/>
              <w:rPr>
                <w:rFonts w:ascii="Verdana" w:hAnsi="Verdana" w:cs="Arial"/>
                <w:szCs w:val="24"/>
              </w:rPr>
            </w:pPr>
          </w:p>
        </w:tc>
        <w:bookmarkStart w:id="0" w:name="_GoBack"/>
        <w:bookmarkEnd w:id="0"/>
      </w:tr>
      <w:tr w:rsidR="00523ABE" w:rsidRPr="00E05FF1" w:rsidTr="00523ABE">
        <w:tc>
          <w:tcPr>
            <w:tcW w:w="2235" w:type="dxa"/>
            <w:shd w:val="clear" w:color="auto" w:fill="D9D9D9" w:themeFill="background1" w:themeFillShade="D9"/>
          </w:tcPr>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Gender reassignment**</w:t>
            </w:r>
          </w:p>
        </w:tc>
        <w:tc>
          <w:tcPr>
            <w:tcW w:w="7371" w:type="dxa"/>
          </w:tcPr>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3 people in 100,000</w:t>
            </w:r>
          </w:p>
          <w:p w:rsidR="00523ABE" w:rsidRPr="00E05FF1" w:rsidRDefault="00523ABE" w:rsidP="00E05FF1">
            <w:pPr>
              <w:spacing w:line="276" w:lineRule="auto"/>
              <w:jc w:val="left"/>
              <w:rPr>
                <w:rFonts w:ascii="Verdana" w:hAnsi="Verdana" w:cs="Arial"/>
                <w:szCs w:val="24"/>
              </w:rPr>
            </w:pPr>
            <w:r w:rsidRPr="00E05FF1">
              <w:rPr>
                <w:rFonts w:ascii="Verdana" w:hAnsi="Verdana" w:cs="Arial"/>
                <w:szCs w:val="24"/>
              </w:rPr>
              <w:t>150 to 200 people in Scotland per annum reassign their gender</w:t>
            </w:r>
          </w:p>
          <w:p w:rsidR="00523ABE" w:rsidRPr="00E05FF1" w:rsidRDefault="00523ABE" w:rsidP="00E05FF1">
            <w:pPr>
              <w:spacing w:line="276" w:lineRule="auto"/>
              <w:jc w:val="left"/>
              <w:rPr>
                <w:rFonts w:ascii="Verdana" w:hAnsi="Verdana" w:cs="Arial"/>
                <w:szCs w:val="24"/>
              </w:rPr>
            </w:pPr>
          </w:p>
        </w:tc>
      </w:tr>
    </w:tbl>
    <w:p w:rsidR="00CC4D90" w:rsidRPr="00E05FF1" w:rsidRDefault="00CC4D90" w:rsidP="00E05FF1">
      <w:pPr>
        <w:spacing w:line="276" w:lineRule="auto"/>
        <w:jc w:val="left"/>
        <w:rPr>
          <w:rFonts w:ascii="Verdana" w:hAnsi="Verdana" w:cs="Arial"/>
          <w:szCs w:val="24"/>
        </w:rPr>
      </w:pPr>
    </w:p>
    <w:p w:rsidR="0025518A" w:rsidRPr="00E05FF1" w:rsidRDefault="0025518A" w:rsidP="00E05FF1">
      <w:pPr>
        <w:spacing w:line="276" w:lineRule="auto"/>
        <w:jc w:val="left"/>
        <w:rPr>
          <w:rFonts w:ascii="Verdana" w:hAnsi="Verdana" w:cs="Arial"/>
          <w:szCs w:val="24"/>
        </w:rPr>
      </w:pPr>
    </w:p>
    <w:p w:rsidR="002F5156" w:rsidRPr="00E05FF1" w:rsidRDefault="00523ABE" w:rsidP="00E05FF1">
      <w:pPr>
        <w:spacing w:line="276" w:lineRule="auto"/>
        <w:jc w:val="left"/>
        <w:rPr>
          <w:rFonts w:ascii="Verdana" w:hAnsi="Verdana" w:cs="Arial"/>
          <w:szCs w:val="24"/>
        </w:rPr>
      </w:pPr>
      <w:r w:rsidRPr="00E05FF1">
        <w:rPr>
          <w:rFonts w:ascii="Verdana" w:hAnsi="Verdana" w:cs="Arial"/>
          <w:szCs w:val="24"/>
        </w:rPr>
        <w:t>A significant</w:t>
      </w:r>
      <w:r w:rsidR="00134CE7" w:rsidRPr="00E05FF1">
        <w:rPr>
          <w:rFonts w:ascii="Verdana" w:hAnsi="Verdana" w:cs="Arial"/>
          <w:szCs w:val="24"/>
        </w:rPr>
        <w:t xml:space="preserve"> difference between NHSGGC and the rest of Scotland is the higher number of ethnic minority people</w:t>
      </w:r>
      <w:r w:rsidR="002F5156" w:rsidRPr="00E05FF1">
        <w:rPr>
          <w:rFonts w:ascii="Verdana" w:hAnsi="Verdana" w:cs="Arial"/>
          <w:szCs w:val="24"/>
        </w:rPr>
        <w:t xml:space="preserve"> in Glasgow City</w:t>
      </w:r>
      <w:r w:rsidR="00134CE7" w:rsidRPr="00E05FF1">
        <w:rPr>
          <w:rFonts w:ascii="Verdana" w:hAnsi="Verdana" w:cs="Arial"/>
          <w:szCs w:val="24"/>
        </w:rPr>
        <w:t xml:space="preserve"> an</w:t>
      </w:r>
      <w:r w:rsidR="00524FC8" w:rsidRPr="00E05FF1">
        <w:rPr>
          <w:rFonts w:ascii="Verdana" w:hAnsi="Verdana" w:cs="Arial"/>
          <w:szCs w:val="24"/>
        </w:rPr>
        <w:t>d the diver</w:t>
      </w:r>
      <w:r w:rsidR="00BE1F41" w:rsidRPr="00E05FF1">
        <w:rPr>
          <w:rFonts w:ascii="Verdana" w:hAnsi="Verdana" w:cs="Arial"/>
          <w:szCs w:val="24"/>
        </w:rPr>
        <w:t>sity within this group. Figure 2</w:t>
      </w:r>
      <w:r w:rsidR="003569FF" w:rsidRPr="00E05FF1">
        <w:rPr>
          <w:rFonts w:ascii="Verdana" w:hAnsi="Verdana" w:cs="Arial"/>
          <w:szCs w:val="24"/>
        </w:rPr>
        <w:t>.</w:t>
      </w:r>
      <w:r w:rsidR="00524FC8" w:rsidRPr="00E05FF1">
        <w:rPr>
          <w:rFonts w:ascii="Verdana" w:hAnsi="Verdana" w:cs="Arial"/>
          <w:szCs w:val="24"/>
        </w:rPr>
        <w:t xml:space="preserve"> s</w:t>
      </w:r>
      <w:r w:rsidR="00134CE7" w:rsidRPr="00E05FF1">
        <w:rPr>
          <w:rFonts w:ascii="Verdana" w:hAnsi="Verdana" w:cs="Arial"/>
          <w:szCs w:val="24"/>
        </w:rPr>
        <w:t xml:space="preserve">hows the 5 main ethnic groups in Glasgow and their relative sizes. These groups make up 83% of all the ethnic </w:t>
      </w:r>
      <w:r w:rsidR="00524FC8" w:rsidRPr="00E05FF1">
        <w:rPr>
          <w:rFonts w:ascii="Verdana" w:hAnsi="Verdana" w:cs="Arial"/>
          <w:szCs w:val="24"/>
        </w:rPr>
        <w:t>minority population in</w:t>
      </w:r>
      <w:r w:rsidR="00134CE7" w:rsidRPr="00E05FF1">
        <w:rPr>
          <w:rFonts w:ascii="Verdana" w:hAnsi="Verdana" w:cs="Arial"/>
          <w:szCs w:val="24"/>
        </w:rPr>
        <w:t xml:space="preserve"> Glasgow</w:t>
      </w:r>
      <w:r w:rsidRPr="00E05FF1">
        <w:rPr>
          <w:rFonts w:ascii="Verdana" w:hAnsi="Verdana" w:cs="Arial"/>
          <w:szCs w:val="24"/>
        </w:rPr>
        <w:t xml:space="preserve">, </w:t>
      </w:r>
      <w:r w:rsidR="00524FC8" w:rsidRPr="00E05FF1">
        <w:rPr>
          <w:rFonts w:ascii="Verdana" w:hAnsi="Verdana" w:cs="Arial"/>
          <w:szCs w:val="24"/>
        </w:rPr>
        <w:t>a relati</w:t>
      </w:r>
      <w:r w:rsidR="002F5156" w:rsidRPr="00E05FF1">
        <w:rPr>
          <w:rFonts w:ascii="Verdana" w:hAnsi="Verdana" w:cs="Arial"/>
          <w:szCs w:val="24"/>
        </w:rPr>
        <w:t>vely young population</w:t>
      </w:r>
      <w:r w:rsidR="00524FC8" w:rsidRPr="00E05FF1">
        <w:rPr>
          <w:rFonts w:ascii="Verdana" w:hAnsi="Verdana" w:cs="Arial"/>
          <w:szCs w:val="24"/>
        </w:rPr>
        <w:t xml:space="preserve"> and therefore likely to increase over the coming years</w:t>
      </w:r>
      <w:r w:rsidR="00134CE7" w:rsidRPr="00E05FF1">
        <w:rPr>
          <w:rFonts w:ascii="Verdana" w:hAnsi="Verdana" w:cs="Arial"/>
          <w:szCs w:val="24"/>
        </w:rPr>
        <w:t>.</w:t>
      </w:r>
    </w:p>
    <w:p w:rsidR="0025518A" w:rsidRPr="00E05FF1" w:rsidRDefault="0025518A" w:rsidP="00E05FF1">
      <w:pPr>
        <w:spacing w:line="276" w:lineRule="auto"/>
        <w:jc w:val="left"/>
        <w:rPr>
          <w:rFonts w:ascii="Verdana" w:hAnsi="Verdana" w:cs="Arial"/>
          <w:szCs w:val="24"/>
        </w:rPr>
      </w:pPr>
    </w:p>
    <w:p w:rsidR="00BE1F41" w:rsidRPr="00E05FF1" w:rsidRDefault="00BE1F41" w:rsidP="00E05FF1">
      <w:pPr>
        <w:spacing w:line="276" w:lineRule="auto"/>
        <w:jc w:val="left"/>
        <w:rPr>
          <w:rFonts w:ascii="Verdana" w:hAnsi="Verdana" w:cs="Arial"/>
          <w:szCs w:val="24"/>
        </w:rPr>
      </w:pPr>
    </w:p>
    <w:p w:rsidR="00523ABE" w:rsidRPr="00E05FF1" w:rsidRDefault="00BE1F41" w:rsidP="00E05FF1">
      <w:pPr>
        <w:spacing w:line="276" w:lineRule="auto"/>
        <w:jc w:val="left"/>
        <w:rPr>
          <w:rFonts w:ascii="Verdana" w:hAnsi="Verdana" w:cs="Arial"/>
          <w:b/>
          <w:szCs w:val="24"/>
        </w:rPr>
      </w:pPr>
      <w:r w:rsidRPr="00E05FF1">
        <w:rPr>
          <w:rFonts w:ascii="Verdana" w:hAnsi="Verdana" w:cs="Arial"/>
          <w:b/>
          <w:szCs w:val="24"/>
        </w:rPr>
        <w:t>Figure 2</w:t>
      </w:r>
      <w:r w:rsidR="00523ABE" w:rsidRPr="00E05FF1">
        <w:rPr>
          <w:rFonts w:ascii="Verdana" w:hAnsi="Verdana" w:cs="Arial"/>
          <w:b/>
          <w:szCs w:val="24"/>
        </w:rPr>
        <w:t>. Relative Size of the Ethnic Minority Population in Glasgow.</w:t>
      </w:r>
    </w:p>
    <w:p w:rsidR="00134CE7" w:rsidRPr="00E05FF1" w:rsidRDefault="00134CE7" w:rsidP="00E05FF1">
      <w:pPr>
        <w:spacing w:line="276" w:lineRule="auto"/>
        <w:jc w:val="left"/>
        <w:rPr>
          <w:rFonts w:ascii="Verdana" w:hAnsi="Verdana" w:cs="Arial"/>
          <w:szCs w:val="24"/>
        </w:rPr>
      </w:pPr>
    </w:p>
    <w:p w:rsidR="00134CE7" w:rsidRPr="00E05FF1" w:rsidRDefault="00134CE7" w:rsidP="00E05FF1">
      <w:pPr>
        <w:spacing w:line="276" w:lineRule="auto"/>
        <w:jc w:val="left"/>
        <w:rPr>
          <w:rFonts w:ascii="Verdana" w:hAnsi="Verdana" w:cs="Arial"/>
          <w:szCs w:val="24"/>
        </w:rPr>
      </w:pPr>
      <w:r w:rsidRPr="00E05FF1">
        <w:rPr>
          <w:rFonts w:ascii="Verdana" w:hAnsi="Verdana" w:cs="Arial"/>
          <w:noProof/>
          <w:szCs w:val="24"/>
        </w:rPr>
        <w:drawing>
          <wp:inline distT="0" distB="0" distL="0" distR="0">
            <wp:extent cx="5562600" cy="3409950"/>
            <wp:effectExtent l="0" t="0" r="0" b="0"/>
            <wp:docPr id="7" name="Chart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xmlns:ve="http://schemas.openxmlformats.org/markup-compatibility/2006" id="{D9324071-5E7C-4000-AB96-5D7C24DE76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4FC8" w:rsidRPr="00E05FF1" w:rsidRDefault="00524FC8" w:rsidP="00E05FF1">
      <w:pPr>
        <w:spacing w:line="276" w:lineRule="auto"/>
        <w:jc w:val="left"/>
        <w:rPr>
          <w:rFonts w:ascii="Verdana" w:hAnsi="Verdana" w:cs="Arial"/>
          <w:szCs w:val="24"/>
        </w:rPr>
      </w:pPr>
    </w:p>
    <w:p w:rsidR="008F218F" w:rsidRPr="00E05FF1" w:rsidRDefault="0025518A" w:rsidP="00E05FF1">
      <w:pPr>
        <w:tabs>
          <w:tab w:val="clear" w:pos="720"/>
          <w:tab w:val="clear" w:pos="4680"/>
          <w:tab w:val="clear" w:pos="5400"/>
          <w:tab w:val="clear" w:pos="9000"/>
          <w:tab w:val="left" w:pos="426"/>
          <w:tab w:val="right" w:pos="9907"/>
        </w:tabs>
        <w:spacing w:line="276" w:lineRule="auto"/>
        <w:jc w:val="left"/>
        <w:rPr>
          <w:rFonts w:ascii="Verdana" w:eastAsia="Calibri" w:hAnsi="Verdana" w:cs="Arial"/>
          <w:szCs w:val="24"/>
          <w:lang w:eastAsia="en-US"/>
        </w:rPr>
      </w:pPr>
      <w:r w:rsidRPr="00E05FF1">
        <w:rPr>
          <w:rFonts w:ascii="Verdana" w:eastAsia="Calibri" w:hAnsi="Verdana" w:cs="Arial"/>
          <w:szCs w:val="24"/>
          <w:lang w:eastAsia="en-US"/>
        </w:rPr>
        <w:t xml:space="preserve">More information on equality, diversity and human rights can be found on HR Connect and the Equalities in Health website </w:t>
      </w:r>
      <w:hyperlink r:id="rId11" w:history="1">
        <w:r w:rsidRPr="00E05FF1">
          <w:rPr>
            <w:rStyle w:val="Hyperlink"/>
            <w:rFonts w:ascii="Verdana" w:eastAsia="Calibri" w:hAnsi="Verdana" w:cs="Arial"/>
            <w:szCs w:val="24"/>
            <w:lang w:eastAsia="en-US"/>
          </w:rPr>
          <w:t>www.equality.scot.nhs.uk</w:t>
        </w:r>
      </w:hyperlink>
      <w:r w:rsidRPr="00E05FF1">
        <w:rPr>
          <w:rFonts w:ascii="Verdana" w:eastAsia="Calibri" w:hAnsi="Verdana" w:cs="Arial"/>
          <w:szCs w:val="24"/>
          <w:lang w:eastAsia="en-US"/>
        </w:rPr>
        <w:t xml:space="preserve"> </w:t>
      </w:r>
    </w:p>
    <w:sectPr w:rsidR="008F218F" w:rsidRPr="00E05FF1" w:rsidSect="00B74C1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9FF" w:rsidRDefault="003569FF" w:rsidP="00435C4E">
      <w:pPr>
        <w:spacing w:line="240" w:lineRule="auto"/>
      </w:pPr>
      <w:r>
        <w:separator/>
      </w:r>
    </w:p>
  </w:endnote>
  <w:endnote w:type="continuationSeparator" w:id="0">
    <w:p w:rsidR="003569FF" w:rsidRDefault="003569FF" w:rsidP="00435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0632"/>
      <w:docPartObj>
        <w:docPartGallery w:val="Page Numbers (Bottom of Page)"/>
        <w:docPartUnique/>
      </w:docPartObj>
    </w:sdtPr>
    <w:sdtEndPr/>
    <w:sdtContent>
      <w:p w:rsidR="003569FF" w:rsidRDefault="00E05FF1">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3569FF" w:rsidRDefault="00356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9FF" w:rsidRDefault="003569FF" w:rsidP="00435C4E">
      <w:pPr>
        <w:spacing w:line="240" w:lineRule="auto"/>
      </w:pPr>
      <w:r>
        <w:separator/>
      </w:r>
    </w:p>
  </w:footnote>
  <w:footnote w:type="continuationSeparator" w:id="0">
    <w:p w:rsidR="003569FF" w:rsidRDefault="003569FF" w:rsidP="00435C4E">
      <w:pPr>
        <w:spacing w:line="240" w:lineRule="auto"/>
      </w:pPr>
      <w:r>
        <w:continuationSeparator/>
      </w:r>
    </w:p>
  </w:footnote>
  <w:footnote w:id="1">
    <w:p w:rsidR="003569FF" w:rsidRPr="00D41B38" w:rsidRDefault="003569FF">
      <w:pPr>
        <w:pStyle w:val="FootnoteText"/>
        <w:rPr>
          <w:sz w:val="18"/>
        </w:rPr>
      </w:pPr>
      <w:r w:rsidRPr="00D41B38">
        <w:rPr>
          <w:rStyle w:val="FootnoteReference"/>
          <w:sz w:val="18"/>
        </w:rPr>
        <w:footnoteRef/>
      </w:r>
      <w:r w:rsidRPr="00D41B38">
        <w:rPr>
          <w:sz w:val="18"/>
        </w:rPr>
        <w:t xml:space="preserve"> </w:t>
      </w:r>
      <w:r>
        <w:rPr>
          <w:sz w:val="18"/>
        </w:rPr>
        <w:t xml:space="preserve">A Fairer NHSGGC: Meeting the requirements of equality legislation 2016-20 </w:t>
      </w:r>
      <w:hyperlink r:id="rId1" w:history="1">
        <w:r w:rsidRPr="004E22E2">
          <w:rPr>
            <w:rStyle w:val="Hyperlink"/>
            <w:sz w:val="16"/>
            <w:szCs w:val="16"/>
          </w:rPr>
          <w:t>http://www.equalitiesinhealth.org/_literature_134841/A_Fairer_NHS_2016-2020</w:t>
        </w:r>
      </w:hyperlink>
      <w:r>
        <w:rPr>
          <w:sz w:val="18"/>
        </w:rPr>
        <w:t xml:space="preserve"> </w:t>
      </w:r>
    </w:p>
  </w:footnote>
  <w:footnote w:id="2">
    <w:p w:rsidR="003569FF" w:rsidRPr="00AE5B23" w:rsidRDefault="003569FF" w:rsidP="00BE1F41">
      <w:pPr>
        <w:pStyle w:val="FootnoteText"/>
        <w:rPr>
          <w:rFonts w:asciiTheme="minorHAnsi" w:hAnsiTheme="minorHAnsi" w:cstheme="minorHAnsi"/>
          <w:sz w:val="18"/>
          <w:szCs w:val="18"/>
        </w:rPr>
      </w:pPr>
      <w:r w:rsidRPr="00AE5B23">
        <w:rPr>
          <w:rStyle w:val="FootnoteReference"/>
          <w:rFonts w:asciiTheme="minorHAnsi" w:hAnsiTheme="minorHAnsi" w:cstheme="minorHAnsi"/>
          <w:sz w:val="18"/>
          <w:szCs w:val="18"/>
        </w:rPr>
        <w:footnoteRef/>
      </w:r>
      <w:r w:rsidRPr="00AE5B23">
        <w:rPr>
          <w:rFonts w:asciiTheme="minorHAnsi" w:hAnsiTheme="minorHAnsi" w:cstheme="minorHAnsi"/>
          <w:sz w:val="18"/>
          <w:szCs w:val="18"/>
        </w:rPr>
        <w:t xml:space="preserve"> Equate Scotland website </w:t>
      </w:r>
      <w:hyperlink r:id="rId2" w:history="1">
        <w:r w:rsidRPr="00AE5B23">
          <w:rPr>
            <w:rStyle w:val="Hyperlink"/>
            <w:rFonts w:asciiTheme="minorHAnsi" w:hAnsiTheme="minorHAnsi" w:cstheme="minorHAnsi"/>
            <w:sz w:val="18"/>
            <w:szCs w:val="18"/>
          </w:rPr>
          <w:t>http://www.equatescotland.org.uk/about/the-issue/</w:t>
        </w:r>
      </w:hyperlink>
      <w:r>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4A51"/>
    <w:multiLevelType w:val="hybridMultilevel"/>
    <w:tmpl w:val="5B3806BC"/>
    <w:lvl w:ilvl="0" w:tplc="04C8B2FE">
      <w:start w:val="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D7743"/>
    <w:multiLevelType w:val="hybridMultilevel"/>
    <w:tmpl w:val="28A460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48051A4"/>
    <w:multiLevelType w:val="hybridMultilevel"/>
    <w:tmpl w:val="C27CA4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B47EE"/>
    <w:multiLevelType w:val="hybridMultilevel"/>
    <w:tmpl w:val="8DCC3064"/>
    <w:lvl w:ilvl="0" w:tplc="F3302CB4">
      <w:start w:val="1"/>
      <w:numFmt w:val="bullet"/>
      <w:lvlText w:val="Þ"/>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227AD"/>
    <w:multiLevelType w:val="hybridMultilevel"/>
    <w:tmpl w:val="0B3E9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3690C"/>
    <w:multiLevelType w:val="hybridMultilevel"/>
    <w:tmpl w:val="EF16B0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AD5E63"/>
    <w:multiLevelType w:val="hybridMultilevel"/>
    <w:tmpl w:val="A6823E3A"/>
    <w:lvl w:ilvl="0" w:tplc="DC86BE86">
      <w:start w:val="20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25BB7"/>
    <w:multiLevelType w:val="hybridMultilevel"/>
    <w:tmpl w:val="85F8E576"/>
    <w:lvl w:ilvl="0" w:tplc="4B94E8E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33AA4"/>
    <w:multiLevelType w:val="hybridMultilevel"/>
    <w:tmpl w:val="A830B982"/>
    <w:lvl w:ilvl="0" w:tplc="F3302CB4">
      <w:start w:val="1"/>
      <w:numFmt w:val="bullet"/>
      <w:lvlText w:val="Þ"/>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81EFD"/>
    <w:multiLevelType w:val="hybridMultilevel"/>
    <w:tmpl w:val="1D42D1D2"/>
    <w:lvl w:ilvl="0" w:tplc="4B94E8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E859C5"/>
    <w:multiLevelType w:val="multilevel"/>
    <w:tmpl w:val="2A6E01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DB7C23"/>
    <w:multiLevelType w:val="hybridMultilevel"/>
    <w:tmpl w:val="3CACD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3D4114"/>
    <w:multiLevelType w:val="hybridMultilevel"/>
    <w:tmpl w:val="DB5AB28E"/>
    <w:lvl w:ilvl="0" w:tplc="00340CF2">
      <w:start w:val="20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3B5591"/>
    <w:multiLevelType w:val="hybridMultilevel"/>
    <w:tmpl w:val="85CC7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F60256"/>
    <w:multiLevelType w:val="hybridMultilevel"/>
    <w:tmpl w:val="199E0D12"/>
    <w:lvl w:ilvl="0" w:tplc="08090001">
      <w:start w:val="1"/>
      <w:numFmt w:val="bullet"/>
      <w:lvlText w:val=""/>
      <w:lvlJc w:val="left"/>
      <w:pPr>
        <w:ind w:left="360" w:hanging="360"/>
      </w:pPr>
      <w:rPr>
        <w:rFonts w:ascii="Symbol" w:hAnsi="Symbol" w:hint="default"/>
      </w:rPr>
    </w:lvl>
    <w:lvl w:ilvl="1" w:tplc="4B94E8E4">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3749CC"/>
    <w:multiLevelType w:val="multilevel"/>
    <w:tmpl w:val="9E0A7A62"/>
    <w:lvl w:ilvl="0">
      <w:start w:val="1"/>
      <w:numFmt w:val="decimal"/>
      <w:lvlText w:val="%1."/>
      <w:lvlJc w:val="left"/>
      <w:pPr>
        <w:ind w:left="360" w:hanging="360"/>
      </w:pPr>
      <w:rPr>
        <w:rFonts w:eastAsia="Calibri" w:hint="default"/>
        <w:color w:val="auto"/>
      </w:rPr>
    </w:lvl>
    <w:lvl w:ilvl="1">
      <w:start w:val="2"/>
      <w:numFmt w:val="decimal"/>
      <w:isLgl/>
      <w:lvlText w:val="%1.%2"/>
      <w:lvlJc w:val="left"/>
      <w:pPr>
        <w:ind w:left="390" w:hanging="39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6" w15:restartNumberingAfterBreak="0">
    <w:nsid w:val="7BC0476D"/>
    <w:multiLevelType w:val="hybridMultilevel"/>
    <w:tmpl w:val="9CA26DF4"/>
    <w:lvl w:ilvl="0" w:tplc="A7DC5802">
      <w:start w:val="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CF56F1"/>
    <w:multiLevelType w:val="hybridMultilevel"/>
    <w:tmpl w:val="EE9ED5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F873742"/>
    <w:multiLevelType w:val="hybridMultilevel"/>
    <w:tmpl w:val="5F801DD0"/>
    <w:lvl w:ilvl="0" w:tplc="4B94E8E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0"/>
  </w:num>
  <w:num w:numId="4">
    <w:abstractNumId w:val="6"/>
  </w:num>
  <w:num w:numId="5">
    <w:abstractNumId w:val="12"/>
  </w:num>
  <w:num w:numId="6">
    <w:abstractNumId w:val="11"/>
  </w:num>
  <w:num w:numId="7">
    <w:abstractNumId w:val="14"/>
  </w:num>
  <w:num w:numId="8">
    <w:abstractNumId w:val="2"/>
  </w:num>
  <w:num w:numId="9">
    <w:abstractNumId w:val="4"/>
  </w:num>
  <w:num w:numId="10">
    <w:abstractNumId w:val="5"/>
  </w:num>
  <w:num w:numId="11">
    <w:abstractNumId w:val="3"/>
  </w:num>
  <w:num w:numId="12">
    <w:abstractNumId w:val="8"/>
  </w:num>
  <w:num w:numId="13">
    <w:abstractNumId w:val="18"/>
  </w:num>
  <w:num w:numId="14">
    <w:abstractNumId w:val="7"/>
  </w:num>
  <w:num w:numId="15">
    <w:abstractNumId w:val="9"/>
  </w:num>
  <w:num w:numId="16">
    <w:abstractNumId w:val="16"/>
  </w:num>
  <w:num w:numId="17">
    <w:abstractNumId w:val="0"/>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07"/>
    <w:rsid w:val="00046E8A"/>
    <w:rsid w:val="00065E07"/>
    <w:rsid w:val="000E6969"/>
    <w:rsid w:val="00122080"/>
    <w:rsid w:val="00134CE7"/>
    <w:rsid w:val="00154BE9"/>
    <w:rsid w:val="00195ABF"/>
    <w:rsid w:val="001E62D2"/>
    <w:rsid w:val="002169BD"/>
    <w:rsid w:val="0025518A"/>
    <w:rsid w:val="00270867"/>
    <w:rsid w:val="0027459F"/>
    <w:rsid w:val="002A3AF3"/>
    <w:rsid w:val="002A4E9C"/>
    <w:rsid w:val="002A6AF7"/>
    <w:rsid w:val="002F5156"/>
    <w:rsid w:val="0033356B"/>
    <w:rsid w:val="00343EE0"/>
    <w:rsid w:val="003569FF"/>
    <w:rsid w:val="00366FA4"/>
    <w:rsid w:val="003B7E74"/>
    <w:rsid w:val="003C71C3"/>
    <w:rsid w:val="00435C4E"/>
    <w:rsid w:val="004515F9"/>
    <w:rsid w:val="00471549"/>
    <w:rsid w:val="00474BB3"/>
    <w:rsid w:val="004922D8"/>
    <w:rsid w:val="004A674F"/>
    <w:rsid w:val="004D1FB8"/>
    <w:rsid w:val="004D6DFD"/>
    <w:rsid w:val="00523ABE"/>
    <w:rsid w:val="00524FC8"/>
    <w:rsid w:val="00556D9E"/>
    <w:rsid w:val="00652605"/>
    <w:rsid w:val="00657441"/>
    <w:rsid w:val="00675D24"/>
    <w:rsid w:val="006949F5"/>
    <w:rsid w:val="006F235F"/>
    <w:rsid w:val="00707F82"/>
    <w:rsid w:val="007119F9"/>
    <w:rsid w:val="007269C3"/>
    <w:rsid w:val="00746D42"/>
    <w:rsid w:val="00752DEC"/>
    <w:rsid w:val="007C0D70"/>
    <w:rsid w:val="007F0E6A"/>
    <w:rsid w:val="008266DE"/>
    <w:rsid w:val="008506AA"/>
    <w:rsid w:val="008835BD"/>
    <w:rsid w:val="008A6D00"/>
    <w:rsid w:val="008D3B23"/>
    <w:rsid w:val="008F218F"/>
    <w:rsid w:val="009D4950"/>
    <w:rsid w:val="00A2074F"/>
    <w:rsid w:val="00AE5B23"/>
    <w:rsid w:val="00B0549C"/>
    <w:rsid w:val="00B74C1F"/>
    <w:rsid w:val="00B8611C"/>
    <w:rsid w:val="00BA3822"/>
    <w:rsid w:val="00BB24CB"/>
    <w:rsid w:val="00BC1401"/>
    <w:rsid w:val="00BC5FAD"/>
    <w:rsid w:val="00BE1F41"/>
    <w:rsid w:val="00BF5584"/>
    <w:rsid w:val="00C56133"/>
    <w:rsid w:val="00CC4D90"/>
    <w:rsid w:val="00D06E39"/>
    <w:rsid w:val="00D23D41"/>
    <w:rsid w:val="00D41B38"/>
    <w:rsid w:val="00D55E9D"/>
    <w:rsid w:val="00D65F1E"/>
    <w:rsid w:val="00DB7628"/>
    <w:rsid w:val="00DD4F35"/>
    <w:rsid w:val="00DE45F3"/>
    <w:rsid w:val="00E05FF1"/>
    <w:rsid w:val="00E11AF4"/>
    <w:rsid w:val="00E21396"/>
    <w:rsid w:val="00E21F7E"/>
    <w:rsid w:val="00E365AF"/>
    <w:rsid w:val="00E4134C"/>
    <w:rsid w:val="00EC2EAD"/>
    <w:rsid w:val="00F061B5"/>
    <w:rsid w:val="00F35087"/>
    <w:rsid w:val="00F87368"/>
    <w:rsid w:val="00FD3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08FD1-89D7-4EEC-9646-2C969844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E07"/>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065E07"/>
    <w:pPr>
      <w:ind w:left="720"/>
      <w:contextualSpacing/>
    </w:pPr>
  </w:style>
  <w:style w:type="character" w:styleId="Hyperlink">
    <w:name w:val="Hyperlink"/>
    <w:basedOn w:val="DefaultParagraphFont"/>
    <w:uiPriority w:val="99"/>
    <w:unhideWhenUsed/>
    <w:rsid w:val="00065E07"/>
    <w:rPr>
      <w:color w:val="0000FF" w:themeColor="hyperlink"/>
      <w:u w:val="single"/>
    </w:rPr>
  </w:style>
  <w:style w:type="table" w:styleId="TableGrid">
    <w:name w:val="Table Grid"/>
    <w:basedOn w:val="TableNormal"/>
    <w:uiPriority w:val="59"/>
    <w:rsid w:val="00065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35C4E"/>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uiPriority w:val="99"/>
    <w:semiHidden/>
    <w:rsid w:val="00435C4E"/>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435C4E"/>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uiPriority w:val="99"/>
    <w:rsid w:val="00435C4E"/>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35C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C4E"/>
    <w:rPr>
      <w:rFonts w:ascii="Tahoma" w:eastAsia="Times New Roman" w:hAnsi="Tahoma" w:cs="Tahoma"/>
      <w:sz w:val="16"/>
      <w:szCs w:val="16"/>
      <w:lang w:eastAsia="en-GB"/>
    </w:rPr>
  </w:style>
  <w:style w:type="paragraph" w:customStyle="1" w:styleId="Parabeforeanother">
    <w:name w:val="&gt; Para before another"/>
    <w:basedOn w:val="Normal"/>
    <w:qFormat/>
    <w:rsid w:val="008835BD"/>
    <w:pPr>
      <w:tabs>
        <w:tab w:val="clear" w:pos="720"/>
        <w:tab w:val="clear" w:pos="1440"/>
        <w:tab w:val="clear" w:pos="2160"/>
        <w:tab w:val="clear" w:pos="2880"/>
        <w:tab w:val="clear" w:pos="4680"/>
        <w:tab w:val="clear" w:pos="5400"/>
        <w:tab w:val="clear" w:pos="9000"/>
      </w:tabs>
      <w:spacing w:after="160" w:line="312" w:lineRule="auto"/>
      <w:jc w:val="left"/>
    </w:pPr>
    <w:rPr>
      <w:rFonts w:eastAsia="Calibri" w:cs="Arial"/>
      <w:szCs w:val="24"/>
      <w:lang w:eastAsia="en-US"/>
    </w:rPr>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
    <w:basedOn w:val="Normal"/>
    <w:link w:val="FootnoteTextChar"/>
    <w:uiPriority w:val="99"/>
    <w:rsid w:val="008835BD"/>
    <w:pPr>
      <w:tabs>
        <w:tab w:val="clear" w:pos="720"/>
        <w:tab w:val="clear" w:pos="1440"/>
        <w:tab w:val="clear" w:pos="2160"/>
        <w:tab w:val="clear" w:pos="2880"/>
        <w:tab w:val="clear" w:pos="4680"/>
        <w:tab w:val="clear" w:pos="5400"/>
        <w:tab w:val="clear" w:pos="9000"/>
      </w:tabs>
      <w:spacing w:after="160" w:line="240" w:lineRule="auto"/>
      <w:jc w:val="left"/>
    </w:pPr>
    <w:rPr>
      <w:sz w:val="28"/>
      <w:lang w:eastAsia="en-US"/>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
    <w:basedOn w:val="DefaultParagraphFont"/>
    <w:link w:val="FootnoteText"/>
    <w:uiPriority w:val="99"/>
    <w:rsid w:val="008835BD"/>
    <w:rPr>
      <w:rFonts w:ascii="Arial" w:eastAsia="Times New Roman" w:hAnsi="Arial" w:cs="Times New Roman"/>
      <w:sz w:val="28"/>
      <w:szCs w:val="20"/>
    </w:rPr>
  </w:style>
  <w:style w:type="character" w:styleId="FootnoteReference">
    <w:name w:val="footnote reference"/>
    <w:uiPriority w:val="99"/>
    <w:rsid w:val="008835BD"/>
    <w:rPr>
      <w:vertAlign w:val="superscript"/>
    </w:rPr>
  </w:style>
  <w:style w:type="character" w:customStyle="1" w:styleId="apple-converted-space">
    <w:name w:val="apple-converted-space"/>
    <w:basedOn w:val="DefaultParagraphFont"/>
    <w:rsid w:val="008835BD"/>
  </w:style>
  <w:style w:type="paragraph" w:customStyle="1" w:styleId="Default">
    <w:name w:val="Default"/>
    <w:rsid w:val="008F218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F218F"/>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rPr>
  </w:style>
  <w:style w:type="character" w:customStyle="1" w:styleId="bullet">
    <w:name w:val="bullet"/>
    <w:basedOn w:val="DefaultParagraphFont"/>
    <w:rsid w:val="008F218F"/>
  </w:style>
  <w:style w:type="character" w:styleId="FollowedHyperlink">
    <w:name w:val="FollowedHyperlink"/>
    <w:basedOn w:val="DefaultParagraphFont"/>
    <w:uiPriority w:val="99"/>
    <w:semiHidden/>
    <w:unhideWhenUsed/>
    <w:rsid w:val="00195ABF"/>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link w:val="ListParagraph"/>
    <w:uiPriority w:val="34"/>
    <w:qFormat/>
    <w:locked/>
    <w:rsid w:val="00195ABF"/>
    <w:rPr>
      <w:rFonts w:ascii="Arial" w:eastAsia="Times New Roman" w:hAnsi="Arial" w:cs="Times New Roman"/>
      <w:sz w:val="24"/>
      <w:szCs w:val="20"/>
      <w:lang w:eastAsia="en-GB"/>
    </w:rPr>
  </w:style>
  <w:style w:type="paragraph" w:customStyle="1" w:styleId="Pa3">
    <w:name w:val="Pa3"/>
    <w:basedOn w:val="Default"/>
    <w:next w:val="Default"/>
    <w:uiPriority w:val="99"/>
    <w:rsid w:val="00675D24"/>
    <w:pPr>
      <w:spacing w:line="201" w:lineRule="atLeast"/>
    </w:pPr>
    <w:rPr>
      <w:rFonts w:ascii="Myriad Pro" w:hAnsi="Myriad Pro" w:cstheme="minorBidi"/>
      <w:color w:val="auto"/>
    </w:rPr>
  </w:style>
  <w:style w:type="paragraph" w:customStyle="1" w:styleId="Parabeforetable">
    <w:name w:val="&gt; Para before table"/>
    <w:basedOn w:val="Normal"/>
    <w:qFormat/>
    <w:rsid w:val="00746D42"/>
    <w:pPr>
      <w:tabs>
        <w:tab w:val="clear" w:pos="720"/>
        <w:tab w:val="clear" w:pos="1440"/>
        <w:tab w:val="clear" w:pos="2160"/>
        <w:tab w:val="clear" w:pos="2880"/>
        <w:tab w:val="clear" w:pos="4680"/>
        <w:tab w:val="clear" w:pos="5400"/>
        <w:tab w:val="clear" w:pos="9000"/>
      </w:tabs>
      <w:spacing w:after="420" w:line="312" w:lineRule="auto"/>
      <w:jc w:val="left"/>
    </w:pPr>
    <w:rPr>
      <w:rFonts w:eastAsia="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173142">
      <w:bodyDiv w:val="1"/>
      <w:marLeft w:val="0"/>
      <w:marRight w:val="0"/>
      <w:marTop w:val="0"/>
      <w:marBottom w:val="0"/>
      <w:divBdr>
        <w:top w:val="none" w:sz="0" w:space="0" w:color="auto"/>
        <w:left w:val="none" w:sz="0" w:space="0" w:color="auto"/>
        <w:bottom w:val="none" w:sz="0" w:space="0" w:color="auto"/>
        <w:right w:val="none" w:sz="0" w:space="0" w:color="auto"/>
      </w:divBdr>
    </w:div>
    <w:div w:id="872571757">
      <w:bodyDiv w:val="1"/>
      <w:marLeft w:val="0"/>
      <w:marRight w:val="0"/>
      <w:marTop w:val="0"/>
      <w:marBottom w:val="0"/>
      <w:divBdr>
        <w:top w:val="none" w:sz="0" w:space="0" w:color="auto"/>
        <w:left w:val="none" w:sz="0" w:space="0" w:color="auto"/>
        <w:bottom w:val="none" w:sz="0" w:space="0" w:color="auto"/>
        <w:right w:val="none" w:sz="0" w:space="0" w:color="auto"/>
      </w:divBdr>
      <w:divsChild>
        <w:div w:id="1869218090">
          <w:marLeft w:val="0"/>
          <w:marRight w:val="0"/>
          <w:marTop w:val="0"/>
          <w:marBottom w:val="0"/>
          <w:divBdr>
            <w:top w:val="none" w:sz="0" w:space="0" w:color="auto"/>
            <w:left w:val="none" w:sz="0" w:space="0" w:color="auto"/>
            <w:bottom w:val="none" w:sz="0" w:space="0" w:color="auto"/>
            <w:right w:val="none" w:sz="0" w:space="0" w:color="auto"/>
          </w:divBdr>
          <w:divsChild>
            <w:div w:id="361782288">
              <w:marLeft w:val="0"/>
              <w:marRight w:val="0"/>
              <w:marTop w:val="0"/>
              <w:marBottom w:val="0"/>
              <w:divBdr>
                <w:top w:val="none" w:sz="0" w:space="0" w:color="auto"/>
                <w:left w:val="none" w:sz="0" w:space="0" w:color="auto"/>
                <w:bottom w:val="none" w:sz="0" w:space="0" w:color="auto"/>
                <w:right w:val="none" w:sz="0" w:space="0" w:color="auto"/>
              </w:divBdr>
              <w:divsChild>
                <w:div w:id="1366757357">
                  <w:marLeft w:val="0"/>
                  <w:marRight w:val="0"/>
                  <w:marTop w:val="0"/>
                  <w:marBottom w:val="0"/>
                  <w:divBdr>
                    <w:top w:val="none" w:sz="0" w:space="0" w:color="auto"/>
                    <w:left w:val="none" w:sz="0" w:space="0" w:color="auto"/>
                    <w:bottom w:val="none" w:sz="0" w:space="0" w:color="auto"/>
                    <w:right w:val="none" w:sz="0" w:space="0" w:color="auto"/>
                  </w:divBdr>
                  <w:divsChild>
                    <w:div w:id="1056857684">
                      <w:marLeft w:val="0"/>
                      <w:marRight w:val="0"/>
                      <w:marTop w:val="0"/>
                      <w:marBottom w:val="0"/>
                      <w:divBdr>
                        <w:top w:val="none" w:sz="0" w:space="0" w:color="auto"/>
                        <w:left w:val="none" w:sz="0" w:space="0" w:color="auto"/>
                        <w:bottom w:val="none" w:sz="0" w:space="0" w:color="auto"/>
                        <w:right w:val="none" w:sz="0" w:space="0" w:color="auto"/>
                      </w:divBdr>
                      <w:divsChild>
                        <w:div w:id="6160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702692">
      <w:bodyDiv w:val="1"/>
      <w:marLeft w:val="0"/>
      <w:marRight w:val="0"/>
      <w:marTop w:val="0"/>
      <w:marBottom w:val="0"/>
      <w:divBdr>
        <w:top w:val="none" w:sz="0" w:space="0" w:color="auto"/>
        <w:left w:val="none" w:sz="0" w:space="0" w:color="auto"/>
        <w:bottom w:val="none" w:sz="0" w:space="0" w:color="auto"/>
        <w:right w:val="none" w:sz="0" w:space="0" w:color="auto"/>
      </w:divBdr>
      <w:divsChild>
        <w:div w:id="119151934">
          <w:marLeft w:val="0"/>
          <w:marRight w:val="0"/>
          <w:marTop w:val="0"/>
          <w:marBottom w:val="0"/>
          <w:divBdr>
            <w:top w:val="none" w:sz="0" w:space="0" w:color="auto"/>
            <w:left w:val="none" w:sz="0" w:space="0" w:color="auto"/>
            <w:bottom w:val="none" w:sz="0" w:space="0" w:color="auto"/>
            <w:right w:val="none" w:sz="0" w:space="0" w:color="auto"/>
          </w:divBdr>
          <w:divsChild>
            <w:div w:id="1602493569">
              <w:marLeft w:val="0"/>
              <w:marRight w:val="0"/>
              <w:marTop w:val="0"/>
              <w:marBottom w:val="0"/>
              <w:divBdr>
                <w:top w:val="none" w:sz="0" w:space="0" w:color="auto"/>
                <w:left w:val="none" w:sz="0" w:space="0" w:color="auto"/>
                <w:bottom w:val="none" w:sz="0" w:space="0" w:color="auto"/>
                <w:right w:val="none" w:sz="0" w:space="0" w:color="auto"/>
              </w:divBdr>
              <w:divsChild>
                <w:div w:id="229998567">
                  <w:marLeft w:val="0"/>
                  <w:marRight w:val="0"/>
                  <w:marTop w:val="0"/>
                  <w:marBottom w:val="0"/>
                  <w:divBdr>
                    <w:top w:val="none" w:sz="0" w:space="0" w:color="auto"/>
                    <w:left w:val="none" w:sz="0" w:space="0" w:color="auto"/>
                    <w:bottom w:val="none" w:sz="0" w:space="0" w:color="auto"/>
                    <w:right w:val="none" w:sz="0" w:space="0" w:color="auto"/>
                  </w:divBdr>
                  <w:divsChild>
                    <w:div w:id="1251230575">
                      <w:marLeft w:val="0"/>
                      <w:marRight w:val="0"/>
                      <w:marTop w:val="0"/>
                      <w:marBottom w:val="0"/>
                      <w:divBdr>
                        <w:top w:val="none" w:sz="0" w:space="0" w:color="auto"/>
                        <w:left w:val="none" w:sz="0" w:space="0" w:color="auto"/>
                        <w:bottom w:val="none" w:sz="0" w:space="0" w:color="auto"/>
                        <w:right w:val="none" w:sz="0" w:space="0" w:color="auto"/>
                      </w:divBdr>
                      <w:divsChild>
                        <w:div w:id="21427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ality.scot.nhs.uk"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quatescotland.org.uk/about/the-issue/" TargetMode="External"/><Relationship Id="rId1" Type="http://schemas.openxmlformats.org/officeDocument/2006/relationships/hyperlink" Target="http://www.equalitiesinhealth.org/_literature_134841/A_Fairer_NHS_2016-202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41CE-4067-A094-848FA49E0A65}"/>
              </c:ext>
            </c:extLst>
          </c:dPt>
          <c:dPt>
            <c:idx val="1"/>
            <c:bubble3D val="0"/>
            <c:spPr>
              <a:solidFill>
                <a:schemeClr val="bg1">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41CE-4067-A094-848FA49E0A65}"/>
              </c:ext>
            </c:extLst>
          </c:dPt>
          <c:dPt>
            <c:idx val="2"/>
            <c:bubble3D val="0"/>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5-41CE-4067-A094-848FA49E0A65}"/>
              </c:ext>
            </c:extLst>
          </c:dPt>
          <c:dPt>
            <c:idx val="3"/>
            <c:bubble3D val="0"/>
            <c:spPr>
              <a:solidFill>
                <a:srgbClr val="FF99FF"/>
              </a:solidFill>
              <a:ln w="19050">
                <a:solidFill>
                  <a:schemeClr val="lt1"/>
                </a:solidFill>
              </a:ln>
              <a:effectLst/>
            </c:spPr>
            <c:extLst xmlns:c16r2="http://schemas.microsoft.com/office/drawing/2015/06/chart">
              <c:ext xmlns:c16="http://schemas.microsoft.com/office/drawing/2014/chart" uri="{C3380CC4-5D6E-409C-BE32-E72D297353CC}">
                <c16:uniqueId val="{00000007-41CE-4067-A094-848FA49E0A65}"/>
              </c:ext>
            </c:extLst>
          </c:dPt>
          <c:dPt>
            <c:idx val="4"/>
            <c:bubble3D val="0"/>
            <c:spPr>
              <a:solidFill>
                <a:schemeClr val="accent1">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41CE-4067-A094-848FA49E0A65}"/>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dLbl>
            <c:dLbl>
              <c:idx val="2"/>
              <c:layout>
                <c:manualLayout>
                  <c:x val="-3.8204286964129077E-3"/>
                  <c:y val="-0.21222185768445603"/>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41CE-4067-A094-848FA49E0A65}"/>
                </c:ext>
                <c:ext xmlns:c15="http://schemas.microsoft.com/office/drawing/2012/chart" uri="{CE6537A1-D6FC-4f65-9D91-7224C49458BB}">
                  <c15:layout/>
                </c:ext>
              </c:extLst>
            </c:dLbl>
            <c:dLbl>
              <c:idx val="3"/>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dLbl>
            <c:dLbl>
              <c:idx val="4"/>
              <c:layout>
                <c:manualLayout>
                  <c:x val="6.5205161854768184E-2"/>
                  <c:y val="4.5020414114902499E-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41CE-4067-A094-848FA49E0A6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Sheet1!$A$3:$A$7</c:f>
              <c:strCache>
                <c:ptCount val="5"/>
                <c:pt idx="0">
                  <c:v>Polish</c:v>
                </c:pt>
                <c:pt idx="1">
                  <c:v>Indian</c:v>
                </c:pt>
                <c:pt idx="2">
                  <c:v>Pakistani</c:v>
                </c:pt>
                <c:pt idx="3">
                  <c:v>Chinese</c:v>
                </c:pt>
                <c:pt idx="4">
                  <c:v>African</c:v>
                </c:pt>
              </c:strCache>
            </c:strRef>
          </c:cat>
          <c:val>
            <c:numRef>
              <c:f>Sheet1!$B$3:$B$7</c:f>
              <c:numCache>
                <c:formatCode>0%</c:formatCode>
                <c:ptCount val="5"/>
                <c:pt idx="0">
                  <c:v>0.16000000000000028</c:v>
                </c:pt>
                <c:pt idx="1">
                  <c:v>0.17</c:v>
                </c:pt>
                <c:pt idx="2">
                  <c:v>0.33000000000000107</c:v>
                </c:pt>
                <c:pt idx="3">
                  <c:v>0.24000000000000021</c:v>
                </c:pt>
                <c:pt idx="4">
                  <c:v>9.0000000000000066E-2</c:v>
                </c:pt>
              </c:numCache>
            </c:numRef>
          </c:val>
          <c:extLst xmlns:c16r2="http://schemas.microsoft.com/office/drawing/2015/06/chart">
            <c:ext xmlns:c16="http://schemas.microsoft.com/office/drawing/2014/chart" uri="{C3380CC4-5D6E-409C-BE32-E72D297353CC}">
              <c16:uniqueId val="{0000000A-41CE-4067-A094-848FA49E0A6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5E834-7A69-466C-BDC9-663E01D2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495</Words>
  <Characters>2827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erdmaja385</dc:creator>
  <cp:lastModifiedBy>Donnelly, Lisa</cp:lastModifiedBy>
  <cp:revision>2</cp:revision>
  <cp:lastPrinted>2017-10-10T08:34:00Z</cp:lastPrinted>
  <dcterms:created xsi:type="dcterms:W3CDTF">2023-02-03T11:26:00Z</dcterms:created>
  <dcterms:modified xsi:type="dcterms:W3CDTF">2023-02-03T11:26:00Z</dcterms:modified>
</cp:coreProperties>
</file>