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D818" w14:textId="6536A487" w:rsidR="000249BD" w:rsidRPr="008759A1" w:rsidRDefault="000249BD">
      <w:r w:rsidRPr="000249BD">
        <w:rPr>
          <w:b/>
          <w:bCs/>
          <w:u w:val="single"/>
        </w:rPr>
        <w:t xml:space="preserve">Use of antivirals for influenza treatment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2268C" w14:paraId="37FA591B" w14:textId="77777777" w:rsidTr="0032268C">
        <w:tc>
          <w:tcPr>
            <w:tcW w:w="4508" w:type="dxa"/>
          </w:tcPr>
          <w:p w14:paraId="6A4C4226" w14:textId="7184ADEE" w:rsidR="0032268C" w:rsidRPr="0032268C" w:rsidRDefault="0032268C">
            <w:pPr>
              <w:rPr>
                <w:b/>
                <w:bCs/>
              </w:rPr>
            </w:pPr>
            <w:r w:rsidRPr="0032268C">
              <w:rPr>
                <w:b/>
                <w:bCs/>
              </w:rPr>
              <w:t xml:space="preserve">Patient group </w:t>
            </w:r>
          </w:p>
        </w:tc>
        <w:tc>
          <w:tcPr>
            <w:tcW w:w="4508" w:type="dxa"/>
          </w:tcPr>
          <w:p w14:paraId="0A92ACC3" w14:textId="252E93B4" w:rsidR="0032268C" w:rsidRPr="0032268C" w:rsidRDefault="0032268C">
            <w:pPr>
              <w:rPr>
                <w:b/>
                <w:bCs/>
              </w:rPr>
            </w:pPr>
            <w:r w:rsidRPr="0032268C">
              <w:rPr>
                <w:b/>
                <w:bCs/>
              </w:rPr>
              <w:t>Recommendation</w:t>
            </w:r>
          </w:p>
        </w:tc>
      </w:tr>
      <w:tr w:rsidR="0032268C" w14:paraId="38CFF405" w14:textId="77777777" w:rsidTr="0032268C">
        <w:tc>
          <w:tcPr>
            <w:tcW w:w="4508" w:type="dxa"/>
          </w:tcPr>
          <w:p w14:paraId="1A39375A" w14:textId="1D21F39E" w:rsidR="0032268C" w:rsidRDefault="0032268C">
            <w:proofErr w:type="gramStart"/>
            <w:r w:rsidRPr="00E523D1">
              <w:t>Otherwise</w:t>
            </w:r>
            <w:proofErr w:type="gramEnd"/>
            <w:r w:rsidRPr="00E523D1">
              <w:t xml:space="preserve"> healthy adults and children, not in a vulnerable group with suspected or confirmed </w:t>
            </w:r>
            <w:r w:rsidRPr="00E523D1">
              <w:rPr>
                <w:b/>
                <w:bCs/>
              </w:rPr>
              <w:t>non-severe</w:t>
            </w:r>
            <w:r w:rsidRPr="00E523D1">
              <w:t xml:space="preserve"> influenza</w:t>
            </w:r>
          </w:p>
        </w:tc>
        <w:tc>
          <w:tcPr>
            <w:tcW w:w="4508" w:type="dxa"/>
          </w:tcPr>
          <w:p w14:paraId="200D49AB" w14:textId="4A277490" w:rsidR="0032268C" w:rsidRDefault="0032268C">
            <w:r>
              <w:t>No treatment</w:t>
            </w:r>
          </w:p>
        </w:tc>
      </w:tr>
      <w:tr w:rsidR="0032268C" w14:paraId="3CA9A8CD" w14:textId="77777777" w:rsidTr="0032268C">
        <w:tc>
          <w:tcPr>
            <w:tcW w:w="4508" w:type="dxa"/>
          </w:tcPr>
          <w:p w14:paraId="1CD147EC" w14:textId="44B6D858" w:rsidR="0032268C" w:rsidRDefault="0032268C" w:rsidP="0032268C">
            <w:pPr>
              <w:spacing w:after="160" w:line="278" w:lineRule="auto"/>
            </w:pPr>
            <w:r w:rsidRPr="00E523D1">
              <w:t xml:space="preserve">Those with non-severe influenza, </w:t>
            </w:r>
            <w:r w:rsidRPr="00E523D1">
              <w:rPr>
                <w:b/>
                <w:bCs/>
              </w:rPr>
              <w:t xml:space="preserve">but at risk of developing severe disease or complications </w:t>
            </w:r>
            <w:r w:rsidRPr="00E523D1">
              <w:t>(</w:t>
            </w:r>
            <w:hyperlink r:id="rId6" w:anchor="introduction" w:history="1">
              <w:r w:rsidRPr="00E523D1">
                <w:rPr>
                  <w:rStyle w:val="Hyperlink"/>
                </w:rPr>
                <w:t>definition in guidance</w:t>
              </w:r>
            </w:hyperlink>
            <w:r w:rsidRPr="00E523D1">
              <w:t>)</w:t>
            </w:r>
          </w:p>
        </w:tc>
        <w:tc>
          <w:tcPr>
            <w:tcW w:w="4508" w:type="dxa"/>
          </w:tcPr>
          <w:p w14:paraId="23C0F5FD" w14:textId="0E98E20F" w:rsidR="0032268C" w:rsidRDefault="0032268C">
            <w:r>
              <w:t xml:space="preserve">Treatment </w:t>
            </w:r>
          </w:p>
        </w:tc>
      </w:tr>
      <w:tr w:rsidR="0032268C" w14:paraId="034337B9" w14:textId="77777777" w:rsidTr="0032268C">
        <w:tc>
          <w:tcPr>
            <w:tcW w:w="4508" w:type="dxa"/>
          </w:tcPr>
          <w:p w14:paraId="53BD9BA9" w14:textId="0848AF5F" w:rsidR="0032268C" w:rsidRPr="0032268C" w:rsidRDefault="0032268C">
            <w:pPr>
              <w:rPr>
                <w:b/>
                <w:bCs/>
              </w:rPr>
            </w:pPr>
            <w:r w:rsidRPr="0032268C">
              <w:rPr>
                <w:b/>
                <w:bCs/>
              </w:rPr>
              <w:t xml:space="preserve">Severe influenza </w:t>
            </w:r>
          </w:p>
        </w:tc>
        <w:tc>
          <w:tcPr>
            <w:tcW w:w="4508" w:type="dxa"/>
          </w:tcPr>
          <w:p w14:paraId="2C097E68" w14:textId="3C1688EC" w:rsidR="0032268C" w:rsidRDefault="0032268C">
            <w:r>
              <w:t xml:space="preserve">Treatment </w:t>
            </w:r>
          </w:p>
        </w:tc>
      </w:tr>
    </w:tbl>
    <w:p w14:paraId="505D5E0E" w14:textId="77777777" w:rsidR="000249BD" w:rsidRDefault="000249BD"/>
    <w:p w14:paraId="18BE852C" w14:textId="3DFF69D7" w:rsidR="0032268C" w:rsidRDefault="0032268C" w:rsidP="00DD750D">
      <w:pPr>
        <w:pStyle w:val="ListParagraph"/>
        <w:numPr>
          <w:ilvl w:val="0"/>
          <w:numId w:val="7"/>
        </w:numPr>
      </w:pPr>
      <w:r w:rsidRPr="007E2966">
        <w:rPr>
          <w:b/>
          <w:bCs/>
        </w:rPr>
        <w:t xml:space="preserve">Oseltamivir is </w:t>
      </w:r>
      <w:r w:rsidR="00CF26F0">
        <w:rPr>
          <w:b/>
          <w:bCs/>
        </w:rPr>
        <w:t xml:space="preserve">the </w:t>
      </w:r>
      <w:r w:rsidRPr="007E2966">
        <w:rPr>
          <w:b/>
          <w:bCs/>
        </w:rPr>
        <w:t>first line treatment,</w:t>
      </w:r>
      <w:r>
        <w:t xml:space="preserve"> with</w:t>
      </w:r>
      <w:r w:rsidRPr="00E523D1">
        <w:t xml:space="preserve"> detailed prescribing guidance in the </w:t>
      </w:r>
      <w:hyperlink r:id="rId7" w:anchor="prescribing-antivirals-for-treatment" w:history="1">
        <w:r w:rsidRPr="005B7C59">
          <w:rPr>
            <w:rStyle w:val="Hyperlink"/>
          </w:rPr>
          <w:t xml:space="preserve">UKHSA </w:t>
        </w:r>
        <w:r w:rsidR="005B7C59" w:rsidRPr="005B7C59">
          <w:rPr>
            <w:rStyle w:val="Hyperlink"/>
          </w:rPr>
          <w:t>guidance</w:t>
        </w:r>
      </w:hyperlink>
      <w:r>
        <w:t xml:space="preserve"> </w:t>
      </w:r>
    </w:p>
    <w:p w14:paraId="1067C0AC" w14:textId="3CFF9478" w:rsidR="003A5C8B" w:rsidRDefault="00A6401E" w:rsidP="00DD750D">
      <w:pPr>
        <w:pStyle w:val="ListParagraph"/>
        <w:numPr>
          <w:ilvl w:val="0"/>
          <w:numId w:val="7"/>
        </w:numPr>
      </w:pPr>
      <w:r>
        <w:t xml:space="preserve">Treatment should be initiated </w:t>
      </w:r>
      <w:r w:rsidRPr="001673FF">
        <w:rPr>
          <w:b/>
          <w:bCs/>
        </w:rPr>
        <w:t>within 48 hours of symptom onset</w:t>
      </w:r>
      <w:r>
        <w:t xml:space="preserve"> </w:t>
      </w:r>
      <w:r w:rsidR="001673FF">
        <w:t>for maximum benefit</w:t>
      </w:r>
      <w:r w:rsidR="00CF26F0">
        <w:t xml:space="preserve">. </w:t>
      </w:r>
    </w:p>
    <w:p w14:paraId="09BB5B90" w14:textId="0B6BEB77" w:rsidR="0097248D" w:rsidRDefault="0097248D" w:rsidP="00DD750D">
      <w:pPr>
        <w:pStyle w:val="ListParagraph"/>
        <w:numPr>
          <w:ilvl w:val="0"/>
          <w:numId w:val="7"/>
        </w:numPr>
      </w:pPr>
      <w:r>
        <w:t>Off-label treatment with oseltamivir may be considered &gt;48 hours post-onset for those at highest risk of complications</w:t>
      </w:r>
    </w:p>
    <w:p w14:paraId="09261147" w14:textId="30E8800D" w:rsidR="003A5C8B" w:rsidRDefault="003A5C8B" w:rsidP="00DD750D">
      <w:pPr>
        <w:pStyle w:val="ListParagraph"/>
        <w:numPr>
          <w:ilvl w:val="0"/>
          <w:numId w:val="7"/>
        </w:numPr>
      </w:pPr>
      <w:r w:rsidRPr="003A5C8B">
        <w:rPr>
          <w:b/>
          <w:bCs/>
        </w:rPr>
        <w:t>Zanamivir is the second line treatment</w:t>
      </w:r>
      <w:r>
        <w:t xml:space="preserve"> (where oseltamivir cannot be given). In cases of suspected oseltamivir resistance consider switching to zanamivir or adding </w:t>
      </w:r>
      <w:proofErr w:type="spellStart"/>
      <w:r>
        <w:t>baloxavir</w:t>
      </w:r>
      <w:proofErr w:type="spellEnd"/>
      <w:r>
        <w:t xml:space="preserve">. </w:t>
      </w:r>
    </w:p>
    <w:p w14:paraId="7159FF13" w14:textId="0E78FB67" w:rsidR="00E523D1" w:rsidRPr="00E523D1" w:rsidRDefault="00E523D1" w:rsidP="00DD750D">
      <w:pPr>
        <w:pStyle w:val="ListParagraph"/>
        <w:numPr>
          <w:ilvl w:val="0"/>
          <w:numId w:val="7"/>
        </w:numPr>
      </w:pPr>
      <w:r w:rsidRPr="00E523D1">
        <w:t xml:space="preserve">Treatment should not be delayed pending testing (though testing </w:t>
      </w:r>
      <w:r w:rsidR="006A48C9">
        <w:t>is</w:t>
      </w:r>
      <w:r w:rsidRPr="00E523D1">
        <w:t xml:space="preserve"> encouraged)</w:t>
      </w:r>
    </w:p>
    <w:p w14:paraId="43EA8796" w14:textId="1376B18E" w:rsidR="00E523D1" w:rsidRPr="00E523D1" w:rsidRDefault="00E523D1" w:rsidP="00E523D1">
      <w:pPr>
        <w:rPr>
          <w:b/>
          <w:bCs/>
        </w:rPr>
      </w:pPr>
      <w:r w:rsidRPr="00E523D1">
        <w:rPr>
          <w:b/>
          <w:bCs/>
        </w:rPr>
        <w:t xml:space="preserve">Prescribing information </w:t>
      </w:r>
    </w:p>
    <w:p w14:paraId="67C00B57" w14:textId="4CA182F4" w:rsidR="00E523D1" w:rsidRDefault="008077DD" w:rsidP="00DD750D">
      <w:pPr>
        <w:pStyle w:val="ListParagraph"/>
        <w:numPr>
          <w:ilvl w:val="0"/>
          <w:numId w:val="7"/>
        </w:numPr>
      </w:pPr>
      <w:r>
        <w:t xml:space="preserve">Detailed prescribing guidance is outlined in the </w:t>
      </w:r>
      <w:hyperlink r:id="rId8" w:anchor="prescribing-antivirals-for-treatment" w:history="1">
        <w:r w:rsidRPr="00DD750D">
          <w:t>UKHSA guidance document</w:t>
        </w:r>
      </w:hyperlink>
    </w:p>
    <w:p w14:paraId="61A06896" w14:textId="11F5E64E" w:rsidR="00E523D1" w:rsidRPr="00E523D1" w:rsidRDefault="0032268C" w:rsidP="00E523D1">
      <w:pPr>
        <w:rPr>
          <w:b/>
          <w:bCs/>
        </w:rPr>
      </w:pPr>
      <w:r>
        <w:rPr>
          <w:b/>
          <w:bCs/>
        </w:rPr>
        <w:t>C</w:t>
      </w:r>
      <w:r w:rsidR="00E523D1" w:rsidRPr="00E523D1">
        <w:rPr>
          <w:b/>
          <w:bCs/>
        </w:rPr>
        <w:t xml:space="preserve">onsiderations for renal patients </w:t>
      </w:r>
    </w:p>
    <w:p w14:paraId="69A61751" w14:textId="68D80ABF" w:rsidR="0032268C" w:rsidRDefault="0032268C" w:rsidP="00E523D1">
      <w:r>
        <w:t xml:space="preserve">For antiviral prescribing for patients with renal impairment, please see </w:t>
      </w:r>
    </w:p>
    <w:p w14:paraId="61DB3622" w14:textId="23FADABC" w:rsidR="00E523D1" w:rsidRDefault="0032268C" w:rsidP="00E523D1">
      <w:hyperlink r:id="rId9" w:history="1">
        <w:r w:rsidRPr="0032268C">
          <w:rPr>
            <w:rStyle w:val="Hyperlink"/>
          </w:rPr>
          <w:t>Oseltamivir and IV Zanamivir for Influenza in Adults with Renal Impairment, use of (1067) | Right Decisions</w:t>
        </w:r>
      </w:hyperlink>
    </w:p>
    <w:p w14:paraId="2B70F653" w14:textId="3AD709AC" w:rsidR="000249BD" w:rsidRPr="000249BD" w:rsidRDefault="000249BD">
      <w:pPr>
        <w:rPr>
          <w:b/>
          <w:bCs/>
          <w:u w:val="single"/>
        </w:rPr>
      </w:pPr>
      <w:r w:rsidRPr="000249BD">
        <w:rPr>
          <w:b/>
          <w:bCs/>
          <w:u w:val="single"/>
        </w:rPr>
        <w:t>Use of antivirals for influenza prophylaxis</w:t>
      </w:r>
    </w:p>
    <w:p w14:paraId="6E9625CF" w14:textId="4C2DC781" w:rsidR="00A64FC7" w:rsidRDefault="00C4509D" w:rsidP="00C4509D">
      <w:r>
        <w:t xml:space="preserve">Prophylactic use of antivirals is recommended for people at risk of developing severe influenza who are exposed to a confirmed or suspected case of influenza (based on clinical features and community prevalence) in a household setting where the following conditions apply: </w:t>
      </w:r>
    </w:p>
    <w:p w14:paraId="35229253" w14:textId="3269437C" w:rsidR="00C4509D" w:rsidRDefault="00C4509D" w:rsidP="00DD750D">
      <w:pPr>
        <w:pStyle w:val="ListParagraph"/>
        <w:numPr>
          <w:ilvl w:val="0"/>
          <w:numId w:val="7"/>
        </w:numPr>
      </w:pPr>
      <w:r>
        <w:t>The person has not been vaccinated in the same influenza season OR there has been less than 14 days between vaccination and date of contact with influenza</w:t>
      </w:r>
    </w:p>
    <w:p w14:paraId="41F9037D" w14:textId="66FA1D74" w:rsidR="00C4509D" w:rsidRDefault="00C4509D" w:rsidP="00DD750D">
      <w:pPr>
        <w:pStyle w:val="ListParagraph"/>
        <w:numPr>
          <w:ilvl w:val="0"/>
          <w:numId w:val="7"/>
        </w:numPr>
      </w:pPr>
      <w:r>
        <w:t xml:space="preserve">The person can start </w:t>
      </w:r>
      <w:r w:rsidR="0097248D">
        <w:t>post-exposure prophylaxis (PEP)</w:t>
      </w:r>
      <w:r>
        <w:t xml:space="preserve"> within 48 hours of their last contact with the case (for oseltamivir), or 36 hours (for zanamivir)</w:t>
      </w:r>
      <w:r w:rsidR="005A6996">
        <w:t xml:space="preserve">. </w:t>
      </w:r>
    </w:p>
    <w:p w14:paraId="48E1D631" w14:textId="0D2D17B1" w:rsidR="009D6D20" w:rsidRPr="005B7C59" w:rsidRDefault="005B7C59">
      <w:r>
        <w:lastRenderedPageBreak/>
        <w:t xml:space="preserve">Doses and schedules for antiviral prophylaxis are included in the </w:t>
      </w:r>
      <w:hyperlink r:id="rId10" w:anchor="antiviral-dosage-and-schedules-for-prophylaxis-nai" w:history="1">
        <w:r w:rsidRPr="005B7C59">
          <w:rPr>
            <w:rStyle w:val="Hyperlink"/>
          </w:rPr>
          <w:t>UKHSA guidance</w:t>
        </w:r>
      </w:hyperlink>
      <w:r>
        <w:t xml:space="preserve">.  </w:t>
      </w:r>
    </w:p>
    <w:p w14:paraId="43EF4C82" w14:textId="3DA39D99" w:rsidR="008759A1" w:rsidRPr="008F3369" w:rsidRDefault="008F3369">
      <w:pPr>
        <w:rPr>
          <w:b/>
          <w:bCs/>
          <w:i/>
          <w:iCs/>
        </w:rPr>
      </w:pPr>
      <w:r>
        <w:rPr>
          <w:b/>
          <w:bCs/>
          <w:i/>
          <w:iCs/>
        </w:rPr>
        <w:t>Key recommendations for c</w:t>
      </w:r>
      <w:r w:rsidR="00A64FC7" w:rsidRPr="008759A1">
        <w:rPr>
          <w:b/>
          <w:bCs/>
          <w:i/>
          <w:iCs/>
        </w:rPr>
        <w:t>are home settings</w:t>
      </w:r>
    </w:p>
    <w:p w14:paraId="48EEE971" w14:textId="36983493" w:rsidR="008759A1" w:rsidRPr="00DD750D" w:rsidRDefault="008759A1" w:rsidP="00DD750D">
      <w:pPr>
        <w:pStyle w:val="ListParagraph"/>
        <w:numPr>
          <w:ilvl w:val="0"/>
          <w:numId w:val="7"/>
        </w:numPr>
      </w:pPr>
      <w:r w:rsidRPr="00DD750D">
        <w:t xml:space="preserve">Early antiviral treatment of care home residents with clinical symptoms compatible with influenza </w:t>
      </w:r>
      <w:r w:rsidR="00D7039F" w:rsidRPr="00DD750D">
        <w:t>is</w:t>
      </w:r>
      <w:r w:rsidRPr="00DD750D">
        <w:t xml:space="preserve"> strongly encouraged. Prescribers should not wait for lab</w:t>
      </w:r>
      <w:r w:rsidR="00575173" w:rsidRPr="00DD750D">
        <w:t>oratory</w:t>
      </w:r>
      <w:r w:rsidRPr="00DD750D">
        <w:t xml:space="preserve"> confirmation before prescribing</w:t>
      </w:r>
      <w:r w:rsidR="002D32DA" w:rsidRPr="00DD750D">
        <w:t xml:space="preserve">. </w:t>
      </w:r>
    </w:p>
    <w:p w14:paraId="7E22607C" w14:textId="299C77A1" w:rsidR="00CD1E21" w:rsidRPr="00DD750D" w:rsidRDefault="00CD1E21" w:rsidP="00DD750D">
      <w:pPr>
        <w:pStyle w:val="ListParagraph"/>
        <w:numPr>
          <w:ilvl w:val="0"/>
          <w:numId w:val="7"/>
        </w:numPr>
      </w:pPr>
      <w:r w:rsidRPr="00DD750D">
        <w:t xml:space="preserve">Testing </w:t>
      </w:r>
      <w:r w:rsidR="002D32DA" w:rsidRPr="00DD750D">
        <w:t xml:space="preserve">of individual residents </w:t>
      </w:r>
      <w:r w:rsidR="00D90CF9" w:rsidRPr="00DD750D">
        <w:t>may be undertaken for diagnostic purposes to inform clinical management</w:t>
      </w:r>
      <w:r w:rsidR="002D32DA" w:rsidRPr="00DD750D">
        <w:t xml:space="preserve">. Testing of up to 5 symptomatic residents may be advised by PHPU to inform outbreak management. </w:t>
      </w:r>
    </w:p>
    <w:p w14:paraId="107E7E01" w14:textId="7B7C548A" w:rsidR="008759A1" w:rsidRPr="00DD750D" w:rsidRDefault="008759A1" w:rsidP="00DD750D">
      <w:pPr>
        <w:pStyle w:val="ListParagraph"/>
        <w:numPr>
          <w:ilvl w:val="0"/>
          <w:numId w:val="7"/>
        </w:numPr>
      </w:pPr>
      <w:r w:rsidRPr="00DD750D">
        <w:t>Vulnerable close contacts (</w:t>
      </w:r>
      <w:r w:rsidR="008F3369" w:rsidRPr="00DD750D">
        <w:t xml:space="preserve">as </w:t>
      </w:r>
      <w:r w:rsidRPr="00DD750D">
        <w:t>defined in UKHSA/NICE guidance) should also be prescribed antivirals</w:t>
      </w:r>
      <w:r w:rsidR="00575173" w:rsidRPr="00DD750D">
        <w:t>.</w:t>
      </w:r>
    </w:p>
    <w:p w14:paraId="5B854C26" w14:textId="77777777" w:rsidR="00575173" w:rsidRPr="00DD750D" w:rsidRDefault="008759A1" w:rsidP="00DD750D">
      <w:pPr>
        <w:pStyle w:val="ListParagraph"/>
        <w:numPr>
          <w:ilvl w:val="0"/>
          <w:numId w:val="7"/>
        </w:numPr>
      </w:pPr>
      <w:r w:rsidRPr="00DD750D">
        <w:t xml:space="preserve">Whilst Scottish and UK guidance includes provision for mass prophylaxis of asymptomatic individuals, the long-standing GGC position has been that each care home or other vulnerable group setting outbreak needs individually assessed on its own merits. In </w:t>
      </w:r>
      <w:proofErr w:type="gramStart"/>
      <w:r w:rsidRPr="00DD750D">
        <w:t>the vast majority of</w:t>
      </w:r>
      <w:proofErr w:type="gramEnd"/>
      <w:r w:rsidRPr="00DD750D">
        <w:t xml:space="preserve"> circumstances, especially given level of vaccine coverage in care homes, the risk/benefit balance means our default position would be to not recommend the use of antivirals in these circumstances. </w:t>
      </w:r>
    </w:p>
    <w:p w14:paraId="78C406D6" w14:textId="54B1CC92" w:rsidR="008759A1" w:rsidRPr="00DD750D" w:rsidRDefault="00575173" w:rsidP="00DD750D">
      <w:pPr>
        <w:pStyle w:val="ListParagraph"/>
        <w:numPr>
          <w:ilvl w:val="0"/>
          <w:numId w:val="7"/>
        </w:numPr>
      </w:pPr>
      <w:r w:rsidRPr="00DD750D">
        <w:t>In a care home setting where influenza is circulating, newly symptomatic residents should be prescribed antivirals at the earliest opportunity where clinically indicated</w:t>
      </w:r>
      <w:r w:rsidR="002D32DA" w:rsidRPr="00DD750D">
        <w:t xml:space="preserve">. </w:t>
      </w:r>
    </w:p>
    <w:p w14:paraId="438E2C82" w14:textId="77777777" w:rsidR="008759A1" w:rsidRPr="00DD750D" w:rsidRDefault="000249BD" w:rsidP="00DD750D">
      <w:pPr>
        <w:pStyle w:val="ListParagraph"/>
        <w:numPr>
          <w:ilvl w:val="0"/>
          <w:numId w:val="7"/>
        </w:numPr>
      </w:pPr>
      <w:r w:rsidRPr="00DD750D">
        <w:t xml:space="preserve">There may be specific situations where use of prophylactic antivirals may be considered in </w:t>
      </w:r>
      <w:r w:rsidR="00A64FC7" w:rsidRPr="00DD750D">
        <w:t>residential care</w:t>
      </w:r>
      <w:r w:rsidRPr="00DD750D">
        <w:t xml:space="preserve"> settings; this should be discussed with PHPU</w:t>
      </w:r>
      <w:r w:rsidR="00EC5856" w:rsidRPr="00DD750D">
        <w:t xml:space="preserve">. </w:t>
      </w:r>
      <w:r w:rsidRPr="00DD750D">
        <w:t xml:space="preserve"> </w:t>
      </w:r>
      <w:r w:rsidR="008759A1" w:rsidRPr="00DD750D">
        <w:t>In the unlikely event that asymptomatic prophylaxis is recommended, it will be for the HSCP, working in conjunction with their independent contractors, to ensure delivery.</w:t>
      </w:r>
    </w:p>
    <w:p w14:paraId="22AD8A58" w14:textId="0942DB26" w:rsidR="008077DD" w:rsidRPr="008077DD" w:rsidRDefault="008077DD">
      <w:pPr>
        <w:rPr>
          <w:b/>
          <w:bCs/>
          <w:u w:val="single"/>
        </w:rPr>
      </w:pPr>
      <w:r w:rsidRPr="008077DD">
        <w:rPr>
          <w:b/>
          <w:bCs/>
          <w:u w:val="single"/>
        </w:rPr>
        <w:t>Links to relevant guidance</w:t>
      </w:r>
    </w:p>
    <w:p w14:paraId="7DF011FE" w14:textId="66343D83" w:rsidR="008077DD" w:rsidRDefault="008077DD">
      <w:r>
        <w:t xml:space="preserve">Public Health Scotland </w:t>
      </w:r>
      <w:r w:rsidR="00437FE6">
        <w:t xml:space="preserve">: </w:t>
      </w:r>
      <w:hyperlink r:id="rId11" w:history="1">
        <w:r w:rsidR="00437FE6" w:rsidRPr="00437FE6">
          <w:rPr>
            <w:rStyle w:val="Hyperlink"/>
          </w:rPr>
          <w:t>Guidance on use of antiviral agents for the treatment and prophylaxis of seasonal influenza</w:t>
        </w:r>
      </w:hyperlink>
    </w:p>
    <w:p w14:paraId="4EDD600D" w14:textId="4BFC7B5E" w:rsidR="00052B32" w:rsidRDefault="00052B32">
      <w:r>
        <w:t xml:space="preserve">Public Health Scotland: </w:t>
      </w:r>
      <w:hyperlink r:id="rId12" w:history="1">
        <w:r w:rsidR="007353FF" w:rsidRPr="007353FF">
          <w:rPr>
            <w:rStyle w:val="Hyperlink"/>
          </w:rPr>
          <w:t>Guidance for the public health management of acute respiratory infections (ARI) in community, social and residential care settings</w:t>
        </w:r>
      </w:hyperlink>
    </w:p>
    <w:p w14:paraId="3F3ABAA9" w14:textId="76C71F74" w:rsidR="008077DD" w:rsidRDefault="008077DD">
      <w:r>
        <w:t xml:space="preserve">UKHSA Guidance: </w:t>
      </w:r>
      <w:hyperlink r:id="rId13" w:history="1">
        <w:r w:rsidR="00437FE6" w:rsidRPr="00437FE6">
          <w:rPr>
            <w:rStyle w:val="Hyperlink"/>
          </w:rPr>
          <w:t>Guidance on use of antiviral agents for the treatment and prophylaxis of seasonal influenza</w:t>
        </w:r>
      </w:hyperlink>
    </w:p>
    <w:p w14:paraId="195D2477" w14:textId="724B63AF" w:rsidR="0097248D" w:rsidRDefault="0097248D">
      <w:r>
        <w:t xml:space="preserve">NHS GGC Clinical Guidance </w:t>
      </w:r>
      <w:hyperlink r:id="rId14" w:history="1">
        <w:r w:rsidRPr="0097248D">
          <w:rPr>
            <w:rStyle w:val="Hyperlink"/>
          </w:rPr>
          <w:t>Infection Management in Adults, Primary Care, NHS GGC</w:t>
        </w:r>
      </w:hyperlink>
    </w:p>
    <w:p w14:paraId="7CDD2737" w14:textId="49B44533" w:rsidR="008077DD" w:rsidRDefault="008077DD">
      <w:r>
        <w:t>N</w:t>
      </w:r>
      <w:r w:rsidR="00437FE6">
        <w:t>ICE</w:t>
      </w:r>
      <w:r>
        <w:t xml:space="preserve"> Guidance (Treatment): </w:t>
      </w:r>
      <w:hyperlink r:id="rId15" w:history="1">
        <w:r w:rsidR="00486214" w:rsidRPr="00486214">
          <w:rPr>
            <w:rStyle w:val="Hyperlink"/>
          </w:rPr>
          <w:t>Amantadine, oseltamivir and zanamivir for the treatment of influenza</w:t>
        </w:r>
      </w:hyperlink>
    </w:p>
    <w:p w14:paraId="3D044251" w14:textId="585F4B8A" w:rsidR="000249BD" w:rsidRDefault="008077DD">
      <w:r>
        <w:t>N</w:t>
      </w:r>
      <w:r w:rsidR="00437FE6">
        <w:t>ICE</w:t>
      </w:r>
      <w:r>
        <w:t xml:space="preserve"> Guidance (Prophylaxis): </w:t>
      </w:r>
      <w:hyperlink r:id="rId16" w:history="1">
        <w:r w:rsidR="00486214" w:rsidRPr="00486214">
          <w:rPr>
            <w:rStyle w:val="Hyperlink"/>
          </w:rPr>
          <w:t>Oseltamivir, amantadine (review) and zanamivir for the prophylaxis of influenza</w:t>
        </w:r>
      </w:hyperlink>
    </w:p>
    <w:sectPr w:rsidR="00024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3FD8"/>
    <w:multiLevelType w:val="hybridMultilevel"/>
    <w:tmpl w:val="A96E6AF8"/>
    <w:lvl w:ilvl="0" w:tplc="EC1ED746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675A0"/>
    <w:multiLevelType w:val="multilevel"/>
    <w:tmpl w:val="9148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22FC7"/>
    <w:multiLevelType w:val="hybridMultilevel"/>
    <w:tmpl w:val="217AB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70447"/>
    <w:multiLevelType w:val="hybridMultilevel"/>
    <w:tmpl w:val="3C6E95A4"/>
    <w:lvl w:ilvl="0" w:tplc="3EDAC3C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90D77"/>
    <w:multiLevelType w:val="hybridMultilevel"/>
    <w:tmpl w:val="FE327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43FE8"/>
    <w:multiLevelType w:val="multilevel"/>
    <w:tmpl w:val="B060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24266"/>
    <w:multiLevelType w:val="hybridMultilevel"/>
    <w:tmpl w:val="EA5E9580"/>
    <w:lvl w:ilvl="0" w:tplc="467C6192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18558">
    <w:abstractNumId w:val="1"/>
  </w:num>
  <w:num w:numId="2" w16cid:durableId="307562865">
    <w:abstractNumId w:val="4"/>
  </w:num>
  <w:num w:numId="3" w16cid:durableId="956721036">
    <w:abstractNumId w:val="5"/>
  </w:num>
  <w:num w:numId="4" w16cid:durableId="1946575035">
    <w:abstractNumId w:val="2"/>
  </w:num>
  <w:num w:numId="5" w16cid:durableId="1254826913">
    <w:abstractNumId w:val="3"/>
  </w:num>
  <w:num w:numId="6" w16cid:durableId="2052609958">
    <w:abstractNumId w:val="0"/>
  </w:num>
  <w:num w:numId="7" w16cid:durableId="2096125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E4"/>
    <w:rsid w:val="00000DDE"/>
    <w:rsid w:val="000249BD"/>
    <w:rsid w:val="00052B32"/>
    <w:rsid w:val="000B53CF"/>
    <w:rsid w:val="001673FF"/>
    <w:rsid w:val="002D32DA"/>
    <w:rsid w:val="002E54DA"/>
    <w:rsid w:val="0032268C"/>
    <w:rsid w:val="003A5C8B"/>
    <w:rsid w:val="00437FE6"/>
    <w:rsid w:val="004527E4"/>
    <w:rsid w:val="00486214"/>
    <w:rsid w:val="00575173"/>
    <w:rsid w:val="005A6996"/>
    <w:rsid w:val="005B7C59"/>
    <w:rsid w:val="005D2801"/>
    <w:rsid w:val="006558A3"/>
    <w:rsid w:val="006A48C9"/>
    <w:rsid w:val="006E362D"/>
    <w:rsid w:val="007353FF"/>
    <w:rsid w:val="007E2966"/>
    <w:rsid w:val="008077DD"/>
    <w:rsid w:val="00863DE8"/>
    <w:rsid w:val="008759A1"/>
    <w:rsid w:val="008C6DE7"/>
    <w:rsid w:val="008F3369"/>
    <w:rsid w:val="0097248D"/>
    <w:rsid w:val="009B0F8B"/>
    <w:rsid w:val="009D6D20"/>
    <w:rsid w:val="00A3116F"/>
    <w:rsid w:val="00A6401E"/>
    <w:rsid w:val="00A64FC7"/>
    <w:rsid w:val="00B33922"/>
    <w:rsid w:val="00B847E7"/>
    <w:rsid w:val="00BB10BA"/>
    <w:rsid w:val="00C4509D"/>
    <w:rsid w:val="00CD1E21"/>
    <w:rsid w:val="00CF26F0"/>
    <w:rsid w:val="00CF50D7"/>
    <w:rsid w:val="00D7039F"/>
    <w:rsid w:val="00D829FC"/>
    <w:rsid w:val="00D90CF9"/>
    <w:rsid w:val="00DD750D"/>
    <w:rsid w:val="00E523D1"/>
    <w:rsid w:val="00EC5856"/>
    <w:rsid w:val="00F4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8AA94"/>
  <w15:chartTrackingRefBased/>
  <w15:docId w15:val="{DBEB4DA3-ECC2-4BDE-AD3B-7EEF18E1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7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26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6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influenza-treatment-and-prophylaxis-using-anti-viral-agents/guidance-on-use-of-antiviral-agents-for-the-treatment-and-prophylaxis-of-seasonal-influenza" TargetMode="External"/><Relationship Id="rId13" Type="http://schemas.openxmlformats.org/officeDocument/2006/relationships/hyperlink" Target="https://www.gov.uk/government/publications/influenza-treatment-and-prophylaxis-using-anti-viral-agents/guidance-on-use-of-antiviral-agents-for-the-treatment-and-prophylaxis-of-seasonal-influenz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ov.uk/government/publications/influenza-treatment-and-prophylaxis-using-anti-viral-agents/guidance-on-use-of-antiviral-agents-for-the-treatment-and-prophylaxis-of-seasonal-influenza" TargetMode="External"/><Relationship Id="rId12" Type="http://schemas.openxmlformats.org/officeDocument/2006/relationships/hyperlink" Target="https://publichealthscotland.scot/publications/guidance-for-the-public-health-management-of-acute-respiratory-infections-ari-in-community-social-and-residential-care-settings/guidance-for-the-public-health-management-of-acute-respiratory-infections-ari-in-community-social-and-residential-care-settings-version-2/overview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15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v.uk/government/publications/influenza-treatment-and-prophylaxis-using-anti-viral-agents/guidance-on-use-of-antiviral-agents-for-the-treatment-and-prophylaxis-of-seasonal-influenza" TargetMode="External"/><Relationship Id="rId11" Type="http://schemas.openxmlformats.org/officeDocument/2006/relationships/hyperlink" Target="https://publichealthscotland.scot/publications/guidance-on-use-of-antiviral-agents-for-the-treatment-and-prophylaxis-of-seasonal-influenza/guidance-on-use-of-antiviral-agents-for-the-treatment-and-prophylaxis-of-seasonal-influenza-version-2/guide-for-use-in-scotlan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168" TargetMode="External"/><Relationship Id="rId10" Type="http://schemas.openxmlformats.org/officeDocument/2006/relationships/hyperlink" Target="https://www.gov.uk/government/publications/influenza-treatment-and-prophylaxis-using-anti-viral-agents/guidance-on-use-of-antiviral-agents-for-the-treatment-and-prophylaxis-of-seasonal-influen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ghtdecisions.scot.nhs.uk/ggc-clinical-guidelines/adult-infection-management/antimicrobial-drug-information/oseltamivir-and-iv-zanamivir-for-influenza-in-adults-with-renal-impairment-use-of-1067/" TargetMode="External"/><Relationship Id="rId14" Type="http://schemas.openxmlformats.org/officeDocument/2006/relationships/hyperlink" Target="https://www.rightdecisions.scot.nhs.uk/media/2583/166-inf-mng-adults-f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D0DC5-CE31-4E87-B021-C304FDEEC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912</Words>
  <Characters>5491</Characters>
  <Application>Microsoft Office Word</Application>
  <DocSecurity>0</DocSecurity>
  <Lines>124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Benson (NHS Greater Glasgow and Clyde)</dc:creator>
  <cp:keywords/>
  <dc:description/>
  <cp:lastModifiedBy>Helen Benson (NHS Greater Glasgow and Clyde)</cp:lastModifiedBy>
  <cp:revision>10</cp:revision>
  <dcterms:created xsi:type="dcterms:W3CDTF">2025-12-01T13:04:00Z</dcterms:created>
  <dcterms:modified xsi:type="dcterms:W3CDTF">2025-12-04T09:51:00Z</dcterms:modified>
</cp:coreProperties>
</file>