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45"/>
        <w:gridCol w:w="3118"/>
        <w:gridCol w:w="1134"/>
        <w:gridCol w:w="3199"/>
      </w:tblGrid>
      <w:tr w:rsidR="002859B0" w:rsidRPr="002859B0" w:rsidTr="004F4697">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rsidR="000C5C57" w:rsidRPr="002859B0" w:rsidRDefault="00A4512A">
            <w:r w:rsidRPr="002859B0">
              <w:t>Form</w:t>
            </w:r>
            <w:r w:rsidR="000C5C57" w:rsidRPr="002859B0">
              <w:t xml:space="preserve">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rsidR="000C5C57" w:rsidRPr="002859B0" w:rsidRDefault="002859B0">
            <w:pPr>
              <w:rPr>
                <w:b/>
              </w:rPr>
            </w:pPr>
            <w:r>
              <w:rPr>
                <w:b/>
              </w:rPr>
              <w:t>57.007D</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rsidR="000C5C57" w:rsidRPr="002859B0" w:rsidRDefault="000C5C57">
            <w:r w:rsidRPr="002859B0">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rsidR="000C5C57" w:rsidRPr="002859B0" w:rsidRDefault="002859B0" w:rsidP="004F4697">
            <w:pPr>
              <w:rPr>
                <w:b/>
              </w:rPr>
            </w:pPr>
            <w:r>
              <w:rPr>
                <w:b/>
              </w:rPr>
              <w:t>2.0</w:t>
            </w:r>
          </w:p>
        </w:tc>
      </w:tr>
      <w:tr w:rsidR="0081651C" w:rsidRPr="002859B0" w:rsidTr="009B214D">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rsidR="0081651C" w:rsidRPr="002859B0" w:rsidRDefault="0081651C">
            <w:r w:rsidRPr="002859B0">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rsidR="0081651C" w:rsidRPr="002859B0" w:rsidRDefault="002859B0">
            <w:pPr>
              <w:rPr>
                <w:b/>
              </w:rPr>
            </w:pPr>
            <w:r>
              <w:rPr>
                <w:b/>
              </w:rPr>
              <w:t>GCRF PPI Confidentiality Agreement</w:t>
            </w:r>
          </w:p>
        </w:tc>
      </w:tr>
    </w:tbl>
    <w:p w:rsidR="00A4512A" w:rsidRPr="002859B0" w:rsidRDefault="002859B0" w:rsidP="00A4512A">
      <w:pPr>
        <w:rPr>
          <w:b/>
        </w:rPr>
      </w:pPr>
      <w:r w:rsidRPr="00793615">
        <w:rPr>
          <w:rFonts w:ascii="Tahoma" w:hAnsi="Tahoma" w:cs="Tahoma"/>
          <w:b/>
          <w:bCs/>
          <w:noProof/>
          <w:color w:val="000000"/>
          <w:sz w:val="24"/>
          <w:szCs w:val="24"/>
          <w:lang w:eastAsia="en-GB"/>
        </w:rPr>
        <w:drawing>
          <wp:anchor distT="0" distB="0" distL="114300" distR="114300" simplePos="0" relativeHeight="251660288" behindDoc="1" locked="0" layoutInCell="1" allowOverlap="1" wp14:anchorId="331247A0" wp14:editId="5F52887C">
            <wp:simplePos x="0" y="0"/>
            <wp:positionH relativeFrom="column">
              <wp:posOffset>-161925</wp:posOffset>
            </wp:positionH>
            <wp:positionV relativeFrom="paragraph">
              <wp:posOffset>295275</wp:posOffset>
            </wp:positionV>
            <wp:extent cx="1609725" cy="552450"/>
            <wp:effectExtent l="19050" t="0" r="9525" b="0"/>
            <wp:wrapNone/>
            <wp:docPr id="7" name="Picture 3" descr="\\NTSERVER2\Clin_Research\Common\Education and Training\2016\9. LOGOS, BANNERS, IMAGES\New logo\GCRF logo.bmp"/>
            <wp:cNvGraphicFramePr/>
            <a:graphic xmlns:a="http://schemas.openxmlformats.org/drawingml/2006/main">
              <a:graphicData uri="http://schemas.openxmlformats.org/drawingml/2006/picture">
                <pic:pic xmlns:pic="http://schemas.openxmlformats.org/drawingml/2006/picture">
                  <pic:nvPicPr>
                    <pic:cNvPr id="43009" name="Picture 2" descr="\\NTSERVER2\Clin_Research\Common\Education and Training\2016\9. LOGOS, BANNERS, IMAGES\New logo\GCRF logo.bmp"/>
                    <pic:cNvPicPr>
                      <a:picLocks noChangeAspect="1" noChangeArrowheads="1"/>
                    </pic:cNvPicPr>
                  </pic:nvPicPr>
                  <pic:blipFill>
                    <a:blip r:embed="rId7" cstate="print"/>
                    <a:srcRect/>
                    <a:stretch>
                      <a:fillRect/>
                    </a:stretch>
                  </pic:blipFill>
                  <pic:spPr bwMode="auto">
                    <a:xfrm>
                      <a:off x="0" y="0"/>
                      <a:ext cx="1609725" cy="552450"/>
                    </a:xfrm>
                    <a:prstGeom prst="rect">
                      <a:avLst/>
                    </a:prstGeom>
                    <a:noFill/>
                    <a:ln w="9525">
                      <a:noFill/>
                      <a:miter lim="800000"/>
                      <a:headEnd/>
                      <a:tailEnd/>
                    </a:ln>
                  </pic:spPr>
                </pic:pic>
              </a:graphicData>
            </a:graphic>
          </wp:anchor>
        </w:drawing>
      </w:r>
    </w:p>
    <w:p w:rsidR="002859B0" w:rsidRPr="004C35AD" w:rsidRDefault="002859B0" w:rsidP="002859B0">
      <w:pPr>
        <w:jc w:val="center"/>
        <w:rPr>
          <w:rFonts w:cstheme="minorHAnsi"/>
          <w:b/>
          <w:bCs/>
          <w:color w:val="000000"/>
          <w:sz w:val="24"/>
          <w:szCs w:val="24"/>
          <w:lang w:eastAsia="en-GB"/>
        </w:rPr>
      </w:pPr>
      <w:r w:rsidRPr="004C35AD">
        <w:rPr>
          <w:rFonts w:cstheme="minorHAnsi"/>
          <w:b/>
          <w:bCs/>
          <w:noProof/>
          <w:color w:val="000000"/>
          <w:sz w:val="24"/>
          <w:szCs w:val="24"/>
          <w:lang w:eastAsia="en-GB"/>
        </w:rPr>
        <w:drawing>
          <wp:anchor distT="0" distB="0" distL="114300" distR="114300" simplePos="0" relativeHeight="251659264" behindDoc="1" locked="0" layoutInCell="1" allowOverlap="1" wp14:anchorId="7C4AE232" wp14:editId="5FD4A09B">
            <wp:simplePos x="0" y="0"/>
            <wp:positionH relativeFrom="column">
              <wp:posOffset>4648835</wp:posOffset>
            </wp:positionH>
            <wp:positionV relativeFrom="paragraph">
              <wp:posOffset>13970</wp:posOffset>
            </wp:positionV>
            <wp:extent cx="1049020" cy="748665"/>
            <wp:effectExtent l="19050" t="0" r="0" b="0"/>
            <wp:wrapNone/>
            <wp:docPr id="9" name="Picture 1" descr="http://www.staffnet.ggc.scot.nhs.uk/SiteCollectionDocuments/Staffnet/Logos%20and%20Templates/logo_NHSGGC_%202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net.ggc.scot.nhs.uk/SiteCollectionDocuments/Staffnet/Logos%20and%20Templates/logo_NHSGGC_%202_colour.jpg"/>
                    <pic:cNvPicPr>
                      <a:picLocks noChangeAspect="1" noChangeArrowheads="1"/>
                    </pic:cNvPicPr>
                  </pic:nvPicPr>
                  <pic:blipFill>
                    <a:blip r:embed="rId8" cstate="print"/>
                    <a:srcRect/>
                    <a:stretch>
                      <a:fillRect/>
                    </a:stretch>
                  </pic:blipFill>
                  <pic:spPr bwMode="auto">
                    <a:xfrm>
                      <a:off x="0" y="0"/>
                      <a:ext cx="1049020" cy="748665"/>
                    </a:xfrm>
                    <a:prstGeom prst="rect">
                      <a:avLst/>
                    </a:prstGeom>
                    <a:noFill/>
                    <a:ln w="9525">
                      <a:noFill/>
                      <a:miter lim="800000"/>
                      <a:headEnd/>
                      <a:tailEnd/>
                    </a:ln>
                  </pic:spPr>
                </pic:pic>
              </a:graphicData>
            </a:graphic>
          </wp:anchor>
        </w:drawing>
      </w:r>
      <w:r>
        <w:rPr>
          <w:rFonts w:ascii="Tahoma" w:hAnsi="Tahoma" w:cs="Tahoma"/>
          <w:b/>
          <w:bCs/>
          <w:color w:val="000000"/>
          <w:sz w:val="24"/>
          <w:szCs w:val="24"/>
          <w:lang w:eastAsia="en-GB"/>
        </w:rPr>
        <w:t xml:space="preserve">      </w:t>
      </w:r>
      <w:r w:rsidRPr="004C35AD">
        <w:rPr>
          <w:rFonts w:cstheme="minorHAnsi"/>
          <w:b/>
          <w:bCs/>
          <w:color w:val="000000"/>
          <w:sz w:val="24"/>
          <w:szCs w:val="24"/>
          <w:lang w:eastAsia="en-GB"/>
        </w:rPr>
        <w:t xml:space="preserve">Patient and Public Involvement in Research </w:t>
      </w:r>
    </w:p>
    <w:p w:rsidR="002859B0" w:rsidRPr="004C35AD" w:rsidRDefault="002859B0" w:rsidP="002859B0">
      <w:pPr>
        <w:jc w:val="center"/>
        <w:rPr>
          <w:rFonts w:cstheme="minorHAnsi"/>
          <w:b/>
          <w:bCs/>
          <w:color w:val="000000"/>
          <w:sz w:val="24"/>
          <w:szCs w:val="24"/>
          <w:lang w:eastAsia="en-GB"/>
        </w:rPr>
      </w:pPr>
      <w:r w:rsidRPr="004C35AD">
        <w:rPr>
          <w:rFonts w:cstheme="minorHAnsi"/>
          <w:b/>
          <w:bCs/>
          <w:color w:val="000000"/>
          <w:sz w:val="24"/>
          <w:szCs w:val="24"/>
          <w:lang w:eastAsia="en-GB"/>
        </w:rPr>
        <w:t>Glasgow Clinical Research Facility</w:t>
      </w:r>
    </w:p>
    <w:p w:rsidR="002859B0" w:rsidRPr="004C35AD" w:rsidRDefault="002859B0" w:rsidP="002859B0">
      <w:pPr>
        <w:jc w:val="center"/>
        <w:rPr>
          <w:rFonts w:cstheme="minorHAnsi"/>
          <w:b/>
          <w:bCs/>
          <w:color w:val="000000"/>
          <w:sz w:val="24"/>
          <w:szCs w:val="24"/>
          <w:lang w:eastAsia="en-GB"/>
        </w:rPr>
      </w:pPr>
      <w:r w:rsidRPr="004C35AD">
        <w:rPr>
          <w:rFonts w:cstheme="minorHAnsi"/>
          <w:b/>
          <w:bCs/>
          <w:color w:val="000000"/>
          <w:sz w:val="24"/>
          <w:szCs w:val="24"/>
          <w:lang w:eastAsia="en-GB"/>
        </w:rPr>
        <w:t>Confidentiality Agreement</w:t>
      </w:r>
    </w:p>
    <w:p w:rsidR="002859B0" w:rsidRPr="004C35AD" w:rsidRDefault="002859B0" w:rsidP="002859B0">
      <w:pPr>
        <w:jc w:val="both"/>
        <w:rPr>
          <w:rFonts w:cstheme="minorHAnsi"/>
        </w:rPr>
      </w:pPr>
      <w:r w:rsidRPr="004C35AD">
        <w:rPr>
          <w:rFonts w:cstheme="minorHAnsi"/>
          <w:bCs/>
          <w:lang w:eastAsia="en-GB"/>
        </w:rPr>
        <w:t xml:space="preserve">Welcome to the Glasgow Clinical Research Facility (GCRF) Patient &amp; Public Involvement (PPI) panel for clinical research. </w:t>
      </w:r>
      <w:r w:rsidRPr="004C35AD">
        <w:rPr>
          <w:rFonts w:cstheme="minorHAnsi"/>
        </w:rPr>
        <w:t xml:space="preserve">Prior to receiving any </w:t>
      </w:r>
      <w:r w:rsidRPr="004C35AD">
        <w:rPr>
          <w:rFonts w:cstheme="minorHAnsi"/>
          <w:lang w:val="en-US"/>
        </w:rPr>
        <w:t xml:space="preserve">information, which may be confidential, identifiable and/or sensitive in nature, we </w:t>
      </w:r>
      <w:r w:rsidRPr="004C35AD">
        <w:rPr>
          <w:rFonts w:cstheme="minorHAnsi"/>
        </w:rPr>
        <w:t xml:space="preserve">ask you to read and sign to confirm that you understand the information contained in this agreement.  </w:t>
      </w:r>
    </w:p>
    <w:p w:rsidR="002859B0" w:rsidRPr="004C35AD" w:rsidRDefault="002859B0" w:rsidP="002859B0">
      <w:pPr>
        <w:jc w:val="both"/>
        <w:rPr>
          <w:rFonts w:cstheme="minorHAnsi"/>
        </w:rPr>
      </w:pPr>
    </w:p>
    <w:p w:rsidR="002859B0" w:rsidRDefault="002859B0" w:rsidP="002859B0">
      <w:pPr>
        <w:jc w:val="both"/>
        <w:rPr>
          <w:rFonts w:cstheme="minorHAnsi"/>
        </w:rPr>
      </w:pPr>
      <w:r w:rsidRPr="004C35AD">
        <w:rPr>
          <w:rFonts w:cstheme="minorHAnsi"/>
        </w:rPr>
        <w:t>If you would like further clarification on any aspect of this agreement you can contact</w:t>
      </w:r>
      <w:r>
        <w:rPr>
          <w:rFonts w:cstheme="minorHAnsi"/>
        </w:rPr>
        <w:t>:</w:t>
      </w:r>
    </w:p>
    <w:p w:rsidR="002859B0" w:rsidRPr="004C35AD" w:rsidRDefault="002859B0" w:rsidP="002859B0">
      <w:pPr>
        <w:jc w:val="both"/>
        <w:rPr>
          <w:rFonts w:cstheme="minorHAnsi"/>
          <w:color w:val="FF0000"/>
        </w:rPr>
      </w:pPr>
      <w:r>
        <w:rPr>
          <w:rFonts w:cstheme="minorHAnsi"/>
        </w:rPr>
        <w:t>[</w:t>
      </w:r>
      <w:proofErr w:type="gramStart"/>
      <w:r>
        <w:rPr>
          <w:rFonts w:cstheme="minorHAnsi"/>
        </w:rPr>
        <w:t>enter</w:t>
      </w:r>
      <w:proofErr w:type="gramEnd"/>
      <w:r>
        <w:rPr>
          <w:rFonts w:cstheme="minorHAnsi"/>
        </w:rPr>
        <w:t xml:space="preserve"> Nurse Manager]…………………………………………………………………………………………………….</w:t>
      </w:r>
    </w:p>
    <w:p w:rsidR="002859B0" w:rsidRPr="004C35AD" w:rsidRDefault="002859B0" w:rsidP="002859B0">
      <w:pPr>
        <w:jc w:val="both"/>
        <w:rPr>
          <w:rFonts w:cstheme="minorHAnsi"/>
          <w:b/>
        </w:rPr>
      </w:pPr>
    </w:p>
    <w:p w:rsidR="002859B0" w:rsidRPr="004C35AD" w:rsidRDefault="002859B0" w:rsidP="002859B0">
      <w:pPr>
        <w:jc w:val="both"/>
        <w:rPr>
          <w:rFonts w:cstheme="minorHAnsi"/>
          <w:b/>
        </w:rPr>
      </w:pPr>
      <w:r w:rsidRPr="004C35AD">
        <w:rPr>
          <w:rFonts w:cstheme="minorHAnsi"/>
          <w:b/>
        </w:rPr>
        <w:t>The need for a confidentiality agreement</w:t>
      </w:r>
    </w:p>
    <w:p w:rsidR="002859B0" w:rsidRPr="004C35AD" w:rsidRDefault="002859B0" w:rsidP="002859B0">
      <w:pPr>
        <w:jc w:val="both"/>
        <w:rPr>
          <w:rFonts w:eastAsia="Times New Roman" w:cstheme="minorHAnsi"/>
        </w:rPr>
      </w:pPr>
      <w:r w:rsidRPr="004C35AD">
        <w:rPr>
          <w:rFonts w:cstheme="minorHAnsi"/>
          <w:bCs/>
          <w:lang w:eastAsia="en-GB"/>
        </w:rPr>
        <w:t>It is r</w:t>
      </w:r>
      <w:r w:rsidRPr="004C35AD">
        <w:rPr>
          <w:rFonts w:eastAsia="Times New Roman" w:cstheme="minorHAnsi"/>
        </w:rPr>
        <w:t>ecognise</w:t>
      </w:r>
      <w:r w:rsidRPr="004C35AD">
        <w:rPr>
          <w:rFonts w:cstheme="minorHAnsi"/>
        </w:rPr>
        <w:t>d</w:t>
      </w:r>
      <w:r w:rsidRPr="004C35AD">
        <w:rPr>
          <w:rFonts w:eastAsia="Times New Roman" w:cstheme="minorHAnsi"/>
        </w:rPr>
        <w:t xml:space="preserve"> that the handling of information, which may be confidential, identifiable and/or sensitive in nature, </w:t>
      </w:r>
      <w:r w:rsidRPr="004C35AD">
        <w:rPr>
          <w:rFonts w:cstheme="minorHAnsi"/>
        </w:rPr>
        <w:t xml:space="preserve">by PPI members </w:t>
      </w:r>
      <w:r w:rsidRPr="004C35AD">
        <w:rPr>
          <w:rFonts w:eastAsia="Times New Roman" w:cstheme="minorHAnsi"/>
        </w:rPr>
        <w:t xml:space="preserve">is necessary </w:t>
      </w:r>
      <w:r w:rsidRPr="004C35AD">
        <w:rPr>
          <w:rFonts w:cstheme="minorHAnsi"/>
        </w:rPr>
        <w:t>for</w:t>
      </w:r>
      <w:r w:rsidRPr="004C35AD">
        <w:rPr>
          <w:rFonts w:eastAsia="Times New Roman" w:cstheme="minorHAnsi"/>
        </w:rPr>
        <w:t xml:space="preserve"> the effective management and performance of the panel.</w:t>
      </w:r>
      <w:r w:rsidRPr="004C35AD">
        <w:rPr>
          <w:rFonts w:cstheme="minorHAnsi"/>
        </w:rPr>
        <w:t xml:space="preserve">  </w:t>
      </w:r>
      <w:r w:rsidRPr="004C35AD">
        <w:rPr>
          <w:rFonts w:eastAsia="Times New Roman" w:cstheme="minorHAnsi"/>
        </w:rPr>
        <w:t xml:space="preserve">Respecting confidentiality </w:t>
      </w:r>
      <w:r w:rsidRPr="004C35AD">
        <w:rPr>
          <w:rFonts w:cstheme="minorHAnsi"/>
        </w:rPr>
        <w:t xml:space="preserve">and working in-line with the Data Protection Act (1998) </w:t>
      </w:r>
      <w:r w:rsidRPr="004C35AD">
        <w:rPr>
          <w:rFonts w:eastAsia="Times New Roman" w:cstheme="minorHAnsi"/>
        </w:rPr>
        <w:t>is an essential part of working with</w:t>
      </w:r>
      <w:r w:rsidRPr="004C35AD">
        <w:rPr>
          <w:rFonts w:cstheme="minorHAnsi"/>
        </w:rPr>
        <w:t xml:space="preserve">in </w:t>
      </w:r>
      <w:r w:rsidRPr="004C35AD">
        <w:rPr>
          <w:rFonts w:cstheme="minorHAnsi"/>
          <w:bCs/>
          <w:lang w:eastAsia="en-GB"/>
        </w:rPr>
        <w:t>this panel.</w:t>
      </w:r>
      <w:r w:rsidRPr="004C35AD">
        <w:rPr>
          <w:rFonts w:eastAsia="Times New Roman" w:cstheme="minorHAnsi"/>
        </w:rPr>
        <w:t xml:space="preserve"> </w:t>
      </w:r>
    </w:p>
    <w:p w:rsidR="002859B0" w:rsidRPr="004C35AD" w:rsidRDefault="002859B0" w:rsidP="002859B0">
      <w:pPr>
        <w:jc w:val="both"/>
        <w:rPr>
          <w:rFonts w:cstheme="minorHAnsi"/>
          <w:bCs/>
          <w:lang w:eastAsia="en-GB"/>
        </w:rPr>
      </w:pPr>
      <w:r w:rsidRPr="004C35AD">
        <w:rPr>
          <w:rFonts w:cstheme="minorHAnsi"/>
          <w:bCs/>
          <w:lang w:eastAsia="en-GB"/>
        </w:rPr>
        <w:t xml:space="preserve">During your time with this panel you will be given access to </w:t>
      </w:r>
      <w:r w:rsidRPr="004C35AD">
        <w:rPr>
          <w:rFonts w:cstheme="minorHAnsi"/>
        </w:rPr>
        <w:t xml:space="preserve">written, verbal, </w:t>
      </w:r>
      <w:r w:rsidRPr="004C35AD">
        <w:rPr>
          <w:rFonts w:eastAsia="Times New Roman" w:cstheme="minorHAnsi"/>
        </w:rPr>
        <w:t xml:space="preserve">electronic, </w:t>
      </w:r>
      <w:r w:rsidRPr="004C35AD">
        <w:rPr>
          <w:rFonts w:cstheme="minorHAnsi"/>
        </w:rPr>
        <w:t xml:space="preserve">audio or video </w:t>
      </w:r>
      <w:r w:rsidRPr="004C35AD">
        <w:rPr>
          <w:rFonts w:cstheme="minorHAnsi"/>
          <w:bCs/>
          <w:lang w:eastAsia="en-GB"/>
        </w:rPr>
        <w:t xml:space="preserve">information that is not publicly known or available, is </w:t>
      </w:r>
      <w:r w:rsidRPr="004C35AD">
        <w:rPr>
          <w:rFonts w:cstheme="minorHAnsi"/>
        </w:rPr>
        <w:t xml:space="preserve">confidential and/or </w:t>
      </w:r>
      <w:r w:rsidRPr="004C35AD">
        <w:rPr>
          <w:rFonts w:eastAsia="Times New Roman" w:cstheme="minorHAnsi"/>
        </w:rPr>
        <w:t xml:space="preserve">identifiable </w:t>
      </w:r>
      <w:r w:rsidRPr="004C35AD">
        <w:rPr>
          <w:rFonts w:cstheme="minorHAnsi"/>
        </w:rPr>
        <w:t xml:space="preserve">and sensitive in nature </w:t>
      </w:r>
      <w:r w:rsidRPr="004C35AD">
        <w:rPr>
          <w:rFonts w:cstheme="minorHAnsi"/>
          <w:bCs/>
          <w:lang w:eastAsia="en-GB"/>
        </w:rPr>
        <w:t xml:space="preserve">relating to trials, researchers or individuals involved in clinical research.  </w:t>
      </w:r>
    </w:p>
    <w:p w:rsidR="002859B0" w:rsidRPr="004C35AD" w:rsidRDefault="002859B0" w:rsidP="002859B0">
      <w:pPr>
        <w:jc w:val="both"/>
        <w:rPr>
          <w:rFonts w:cstheme="minorHAnsi"/>
          <w:bCs/>
          <w:lang w:eastAsia="en-GB"/>
        </w:rPr>
      </w:pPr>
      <w:r w:rsidRPr="004C35AD">
        <w:rPr>
          <w:rFonts w:cstheme="minorHAnsi"/>
          <w:bCs/>
          <w:lang w:eastAsia="en-GB"/>
        </w:rPr>
        <w:t xml:space="preserve">Examples of this include, but are not limited to: </w:t>
      </w:r>
    </w:p>
    <w:p w:rsidR="002859B0" w:rsidRPr="004C35AD" w:rsidRDefault="002859B0" w:rsidP="002859B0">
      <w:pPr>
        <w:pStyle w:val="ListParagraph"/>
        <w:numPr>
          <w:ilvl w:val="0"/>
          <w:numId w:val="4"/>
        </w:numPr>
        <w:suppressAutoHyphens/>
        <w:spacing w:after="0" w:line="240" w:lineRule="auto"/>
        <w:jc w:val="both"/>
        <w:rPr>
          <w:rFonts w:cstheme="minorHAnsi"/>
          <w:bCs/>
          <w:lang w:eastAsia="en-GB"/>
        </w:rPr>
      </w:pPr>
      <w:r w:rsidRPr="004C35AD">
        <w:rPr>
          <w:rFonts w:cstheme="minorHAnsi"/>
          <w:bCs/>
          <w:lang w:eastAsia="en-GB"/>
        </w:rPr>
        <w:t xml:space="preserve">Access to contact details for researchers working in clinical research; </w:t>
      </w:r>
    </w:p>
    <w:p w:rsidR="002859B0" w:rsidRPr="004C35AD" w:rsidRDefault="002859B0" w:rsidP="002859B0">
      <w:pPr>
        <w:pStyle w:val="ListParagraph"/>
        <w:numPr>
          <w:ilvl w:val="0"/>
          <w:numId w:val="4"/>
        </w:numPr>
        <w:suppressAutoHyphens/>
        <w:spacing w:after="0" w:line="240" w:lineRule="auto"/>
        <w:jc w:val="both"/>
        <w:rPr>
          <w:rFonts w:cstheme="minorHAnsi"/>
          <w:bCs/>
          <w:lang w:eastAsia="en-GB"/>
        </w:rPr>
      </w:pPr>
      <w:r w:rsidRPr="004C35AD">
        <w:rPr>
          <w:rFonts w:cstheme="minorHAnsi"/>
          <w:bCs/>
          <w:lang w:eastAsia="en-GB"/>
        </w:rPr>
        <w:t>Access to contact details for other PPI members;</w:t>
      </w:r>
    </w:p>
    <w:p w:rsidR="002859B0" w:rsidRPr="004C35AD" w:rsidRDefault="002859B0" w:rsidP="002859B0">
      <w:pPr>
        <w:pStyle w:val="ListParagraph"/>
        <w:numPr>
          <w:ilvl w:val="0"/>
          <w:numId w:val="4"/>
        </w:numPr>
        <w:suppressAutoHyphens/>
        <w:spacing w:after="0" w:line="240" w:lineRule="auto"/>
        <w:jc w:val="both"/>
        <w:rPr>
          <w:rFonts w:cstheme="minorHAnsi"/>
          <w:bCs/>
          <w:lang w:eastAsia="en-GB"/>
        </w:rPr>
      </w:pPr>
      <w:r w:rsidRPr="004C35AD">
        <w:rPr>
          <w:rFonts w:cstheme="minorHAnsi"/>
          <w:bCs/>
          <w:lang w:eastAsia="en-GB"/>
        </w:rPr>
        <w:t>Access to research proposals or information about ideas being developed in preparation for funding applications;</w:t>
      </w:r>
    </w:p>
    <w:p w:rsidR="002859B0" w:rsidRPr="004C35AD" w:rsidRDefault="002859B0" w:rsidP="002859B0">
      <w:pPr>
        <w:pStyle w:val="ListParagraph"/>
        <w:numPr>
          <w:ilvl w:val="0"/>
          <w:numId w:val="4"/>
        </w:numPr>
        <w:suppressAutoHyphens/>
        <w:spacing w:after="0" w:line="240" w:lineRule="auto"/>
        <w:jc w:val="both"/>
        <w:rPr>
          <w:rFonts w:cstheme="minorHAnsi"/>
          <w:bCs/>
          <w:lang w:eastAsia="en-GB"/>
        </w:rPr>
      </w:pPr>
      <w:r w:rsidRPr="004C35AD">
        <w:rPr>
          <w:rFonts w:cstheme="minorHAnsi"/>
          <w:bCs/>
          <w:lang w:eastAsia="en-GB"/>
        </w:rPr>
        <w:t>Access to clinical trial protocols submitted by pharmaceutical or academic sources to conduct clinical research in the GCRF:</w:t>
      </w:r>
    </w:p>
    <w:p w:rsidR="002859B0" w:rsidRPr="004C35AD" w:rsidRDefault="002859B0" w:rsidP="002859B0">
      <w:pPr>
        <w:pStyle w:val="ListParagraph"/>
        <w:numPr>
          <w:ilvl w:val="0"/>
          <w:numId w:val="4"/>
        </w:numPr>
        <w:suppressAutoHyphens/>
        <w:spacing w:after="0" w:line="240" w:lineRule="auto"/>
        <w:jc w:val="both"/>
        <w:rPr>
          <w:rFonts w:cstheme="minorHAnsi"/>
          <w:bCs/>
          <w:lang w:eastAsia="en-GB"/>
        </w:rPr>
      </w:pPr>
      <w:r w:rsidRPr="004C35AD">
        <w:rPr>
          <w:rFonts w:cstheme="minorHAnsi"/>
          <w:bCs/>
          <w:lang w:eastAsia="en-GB"/>
        </w:rPr>
        <w:t xml:space="preserve">Information on proposed and actual research activity across the UK, including but not limited to NHS </w:t>
      </w:r>
      <w:r w:rsidRPr="004C35AD">
        <w:rPr>
          <w:rFonts w:cstheme="minorHAnsi"/>
        </w:rPr>
        <w:t>Greater Glasgow &amp; Clyde, University of Glasgow, University of Strathclyde, University of West Of Scotland and Glasgow Caledonian University.</w:t>
      </w:r>
    </w:p>
    <w:p w:rsidR="002859B0" w:rsidRPr="004C35AD" w:rsidRDefault="002859B0" w:rsidP="002859B0">
      <w:pPr>
        <w:jc w:val="both"/>
        <w:rPr>
          <w:rFonts w:cstheme="minorHAnsi"/>
          <w:bCs/>
          <w:lang w:eastAsia="en-GB"/>
        </w:rPr>
      </w:pPr>
    </w:p>
    <w:p w:rsidR="002859B0" w:rsidRPr="004C35AD" w:rsidRDefault="002859B0" w:rsidP="002859B0">
      <w:pPr>
        <w:autoSpaceDE w:val="0"/>
        <w:autoSpaceDN w:val="0"/>
        <w:adjustRightInd w:val="0"/>
        <w:spacing w:after="0"/>
        <w:jc w:val="both"/>
        <w:rPr>
          <w:rFonts w:cstheme="minorHAnsi"/>
          <w:color w:val="FF0000"/>
          <w:lang w:val="en-US"/>
        </w:rPr>
      </w:pPr>
      <w:r w:rsidRPr="004C35AD">
        <w:rPr>
          <w:rFonts w:cstheme="minorHAnsi"/>
          <w:lang w:val="en-US"/>
        </w:rPr>
        <w:t xml:space="preserve">As a member of this panel you must agree not to communicate any information which is deemed confidential, </w:t>
      </w:r>
      <w:r w:rsidRPr="004C35AD">
        <w:rPr>
          <w:rFonts w:eastAsia="Times New Roman" w:cstheme="minorHAnsi"/>
        </w:rPr>
        <w:t xml:space="preserve">identifiable </w:t>
      </w:r>
      <w:r w:rsidRPr="004C35AD">
        <w:rPr>
          <w:rFonts w:cstheme="minorHAnsi"/>
        </w:rPr>
        <w:t>or sensitive in nature obtained as a result of your participation.  However, t</w:t>
      </w:r>
      <w:r w:rsidRPr="004C35AD">
        <w:rPr>
          <w:rFonts w:cstheme="minorHAnsi"/>
          <w:lang w:val="en-US"/>
        </w:rPr>
        <w:t>here may be occasions where panel members are specifically asked by researchers to share information within their own communities, or to seek the opinions and views of others.  If such a request is made and you are unclear about whether or not the information that you have access to is confidential, please seek clarification from</w:t>
      </w:r>
      <w:r>
        <w:rPr>
          <w:rFonts w:cstheme="minorHAnsi"/>
          <w:lang w:val="en-US"/>
        </w:rPr>
        <w:t xml:space="preserve"> </w:t>
      </w:r>
      <w:r w:rsidRPr="004C35AD">
        <w:rPr>
          <w:rFonts w:cstheme="minorHAnsi"/>
          <w:lang w:val="en-US"/>
        </w:rPr>
        <w:t>[enter Nurse Manager]…………………………………………………</w:t>
      </w:r>
    </w:p>
    <w:p w:rsidR="002859B0" w:rsidRPr="004C35AD" w:rsidRDefault="002859B0" w:rsidP="002859B0">
      <w:pPr>
        <w:spacing w:after="0"/>
        <w:jc w:val="both"/>
        <w:rPr>
          <w:rFonts w:cstheme="minorHAnsi"/>
        </w:rPr>
      </w:pPr>
    </w:p>
    <w:p w:rsidR="002859B0" w:rsidRPr="004C35AD" w:rsidRDefault="002859B0" w:rsidP="002859B0">
      <w:pPr>
        <w:jc w:val="both"/>
        <w:rPr>
          <w:rFonts w:cstheme="minorHAnsi"/>
          <w:b/>
          <w:bCs/>
          <w:lang w:eastAsia="en-GB"/>
        </w:rPr>
      </w:pPr>
      <w:r w:rsidRPr="004C35AD">
        <w:rPr>
          <w:rFonts w:cstheme="minorHAnsi"/>
          <w:b/>
          <w:bCs/>
          <w:lang w:eastAsia="en-GB"/>
        </w:rPr>
        <w:t xml:space="preserve">Should you witness a breach of </w:t>
      </w:r>
      <w:proofErr w:type="gramStart"/>
      <w:r w:rsidRPr="004C35AD">
        <w:rPr>
          <w:rFonts w:cstheme="minorHAnsi"/>
          <w:b/>
          <w:bCs/>
          <w:lang w:eastAsia="en-GB"/>
        </w:rPr>
        <w:t>confidentiality.</w:t>
      </w:r>
      <w:proofErr w:type="gramEnd"/>
    </w:p>
    <w:p w:rsidR="002859B0" w:rsidRPr="004C35AD" w:rsidRDefault="002859B0" w:rsidP="002859B0">
      <w:pPr>
        <w:spacing w:after="0"/>
        <w:jc w:val="both"/>
        <w:rPr>
          <w:rFonts w:cstheme="minorHAnsi"/>
        </w:rPr>
      </w:pPr>
      <w:r w:rsidRPr="004C35AD">
        <w:rPr>
          <w:rFonts w:cstheme="minorHAnsi"/>
          <w:bCs/>
          <w:lang w:eastAsia="en-GB"/>
        </w:rPr>
        <w:t xml:space="preserve">All breaches must be reported as soon as they occur.  </w:t>
      </w:r>
      <w:r w:rsidRPr="004C35AD">
        <w:rPr>
          <w:rFonts w:cstheme="minorHAnsi"/>
        </w:rPr>
        <w:t>If you detect, suspect, or witness, any actual or suspected incident that may be a breach of security or data protection, or any situation which may lead to a potential breach of security or data protection you must immediately report this to the GCRF Manager</w:t>
      </w:r>
    </w:p>
    <w:p w:rsidR="002859B0" w:rsidRPr="004C35AD" w:rsidRDefault="002859B0" w:rsidP="002859B0">
      <w:pPr>
        <w:spacing w:after="0"/>
        <w:jc w:val="both"/>
        <w:rPr>
          <w:rFonts w:cstheme="minorHAnsi"/>
        </w:rPr>
      </w:pPr>
    </w:p>
    <w:p w:rsidR="002859B0" w:rsidRPr="004C35AD" w:rsidRDefault="002859B0" w:rsidP="002859B0">
      <w:pPr>
        <w:spacing w:after="0"/>
        <w:jc w:val="both"/>
        <w:rPr>
          <w:rFonts w:cstheme="minorHAnsi"/>
        </w:rPr>
      </w:pPr>
      <w:r w:rsidRPr="004C35AD">
        <w:rPr>
          <w:rFonts w:cstheme="minorHAnsi"/>
        </w:rPr>
        <w:t xml:space="preserve">Whilst members of the GCRF </w:t>
      </w:r>
      <w:r w:rsidRPr="004C35AD">
        <w:rPr>
          <w:rFonts w:cstheme="minorHAnsi"/>
          <w:bCs/>
          <w:lang w:eastAsia="en-GB"/>
        </w:rPr>
        <w:t xml:space="preserve">Patient and Public Involvement Panel have no contractual obligations to the organisation, they are required at all times to adhere to the NHS </w:t>
      </w:r>
      <w:r w:rsidRPr="004C35AD">
        <w:rPr>
          <w:rFonts w:cstheme="minorHAnsi"/>
        </w:rPr>
        <w:t>Greater Glasgow and Clyde code of conduct in respect of confidentiality.  Breaches of confidentiality are classed as ‘gross misconduct’ by NHS Greater Glasgow and Clyde; and any reported actual or suspected breaches will always be investigated.   Following investigation any identified breach of confidentiality will attract disciplinary action, which may lead to a member being asked to resign their position within the</w:t>
      </w:r>
      <w:r>
        <w:rPr>
          <w:rFonts w:cstheme="minorHAnsi"/>
        </w:rPr>
        <w:t xml:space="preserve"> panel</w:t>
      </w:r>
      <w:r w:rsidRPr="004C35AD">
        <w:rPr>
          <w:rFonts w:cstheme="minorHAnsi"/>
        </w:rPr>
        <w:t xml:space="preserve">.  </w:t>
      </w:r>
    </w:p>
    <w:p w:rsidR="002859B0" w:rsidRPr="004C35AD" w:rsidRDefault="002859B0" w:rsidP="002859B0">
      <w:pPr>
        <w:tabs>
          <w:tab w:val="left" w:pos="2130"/>
        </w:tabs>
        <w:autoSpaceDE w:val="0"/>
        <w:autoSpaceDN w:val="0"/>
        <w:adjustRightInd w:val="0"/>
        <w:spacing w:after="0"/>
        <w:jc w:val="both"/>
        <w:rPr>
          <w:rFonts w:cstheme="minorHAnsi"/>
          <w:b/>
          <w:bCs/>
          <w:lang w:eastAsia="en-GB"/>
        </w:rPr>
      </w:pPr>
    </w:p>
    <w:p w:rsidR="002859B0" w:rsidRPr="004C35AD" w:rsidRDefault="002859B0" w:rsidP="002859B0">
      <w:pPr>
        <w:tabs>
          <w:tab w:val="left" w:pos="2130"/>
        </w:tabs>
        <w:autoSpaceDE w:val="0"/>
        <w:autoSpaceDN w:val="0"/>
        <w:adjustRightInd w:val="0"/>
        <w:spacing w:after="0"/>
        <w:jc w:val="both"/>
        <w:rPr>
          <w:rFonts w:cstheme="minorHAnsi"/>
          <w:b/>
          <w:bCs/>
          <w:lang w:eastAsia="en-GB"/>
        </w:rPr>
      </w:pPr>
      <w:r w:rsidRPr="004C35AD">
        <w:rPr>
          <w:rFonts w:cstheme="minorHAnsi"/>
          <w:b/>
          <w:bCs/>
          <w:lang w:eastAsia="en-GB"/>
        </w:rPr>
        <w:t xml:space="preserve">By initialling the boxes and signing this agreement you </w:t>
      </w:r>
      <w:r w:rsidRPr="004C35AD">
        <w:rPr>
          <w:rFonts w:cstheme="minorHAnsi"/>
          <w:b/>
        </w:rPr>
        <w:t>understand</w:t>
      </w:r>
      <w:r w:rsidRPr="004C35AD">
        <w:rPr>
          <w:rFonts w:cstheme="minorHAnsi"/>
          <w:b/>
          <w:bCs/>
          <w:lang w:eastAsia="en-GB"/>
        </w:rPr>
        <w:t xml:space="preserve"> that:</w:t>
      </w:r>
      <w:r w:rsidRPr="004C35AD">
        <w:rPr>
          <w:rFonts w:cstheme="minorHAnsi"/>
          <w:b/>
          <w:bCs/>
          <w:lang w:eastAsia="en-GB"/>
        </w:rPr>
        <w:tab/>
      </w:r>
    </w:p>
    <w:p w:rsidR="002859B0" w:rsidRPr="004C35AD" w:rsidRDefault="002859B0" w:rsidP="002859B0">
      <w:pPr>
        <w:pStyle w:val="ListParagraph"/>
        <w:jc w:val="both"/>
        <w:rPr>
          <w:rFonts w:cstheme="minorHAnsi"/>
        </w:rPr>
      </w:pPr>
    </w:p>
    <w:p w:rsidR="002859B0" w:rsidRPr="004C35AD" w:rsidRDefault="002859B0" w:rsidP="002859B0">
      <w:pPr>
        <w:pStyle w:val="ListParagraph"/>
        <w:numPr>
          <w:ilvl w:val="0"/>
          <w:numId w:val="3"/>
        </w:numPr>
        <w:tabs>
          <w:tab w:val="left" w:pos="7797"/>
        </w:tabs>
        <w:suppressAutoHyphens/>
        <w:spacing w:after="0" w:line="240" w:lineRule="auto"/>
        <w:ind w:right="2080"/>
        <w:jc w:val="both"/>
        <w:rPr>
          <w:rFonts w:cstheme="minorHAnsi"/>
        </w:rPr>
      </w:pPr>
      <w:r>
        <w:rPr>
          <w:rFonts w:cstheme="minorHAnsi"/>
          <w:noProof/>
          <w:lang w:eastAsia="en-GB"/>
        </w:rPr>
        <mc:AlternateContent>
          <mc:Choice Requires="wps">
            <w:drawing>
              <wp:anchor distT="0" distB="0" distL="114300" distR="114300" simplePos="0" relativeHeight="251662336" behindDoc="0" locked="0" layoutInCell="1" allowOverlap="1" wp14:anchorId="742BCB9C" wp14:editId="4F2F1575">
                <wp:simplePos x="0" y="0"/>
                <wp:positionH relativeFrom="column">
                  <wp:posOffset>4991100</wp:posOffset>
                </wp:positionH>
                <wp:positionV relativeFrom="paragraph">
                  <wp:posOffset>104140</wp:posOffset>
                </wp:positionV>
                <wp:extent cx="730250" cy="336550"/>
                <wp:effectExtent l="9525" t="8890" r="12700" b="69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28B91" id="Rectangle 2" o:spid="_x0000_s1026" style="position:absolute;margin-left:393pt;margin-top:8.2pt;width:57.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"/>
            </w:pict>
          </mc:Fallback>
        </mc:AlternateContent>
      </w:r>
      <w:r w:rsidRPr="004C35AD">
        <w:rPr>
          <w:rFonts w:cstheme="minorHAnsi"/>
        </w:rPr>
        <w:t xml:space="preserve">You may have access to information that is not publicly known or available, personal and/or sensitive relating to individuals. You agree to keep any information relating to your participation in the GCRF </w:t>
      </w:r>
      <w:r w:rsidRPr="004C35AD">
        <w:rPr>
          <w:rFonts w:cstheme="minorHAnsi"/>
          <w:bCs/>
          <w:lang w:eastAsia="en-GB"/>
        </w:rPr>
        <w:t xml:space="preserve">Patient and Public Involvement Panel </w:t>
      </w:r>
      <w:r w:rsidRPr="004C35AD">
        <w:rPr>
          <w:rFonts w:cstheme="minorHAnsi"/>
        </w:rPr>
        <w:t>secure and confidential at all times.</w:t>
      </w:r>
    </w:p>
    <w:p w:rsidR="002859B0" w:rsidRPr="004C35AD" w:rsidRDefault="002859B0" w:rsidP="002859B0">
      <w:pPr>
        <w:pStyle w:val="ListParagraph"/>
        <w:ind w:right="2080"/>
        <w:jc w:val="both"/>
        <w:rPr>
          <w:rFonts w:cstheme="minorHAnsi"/>
        </w:rPr>
      </w:pPr>
    </w:p>
    <w:p w:rsidR="002859B0" w:rsidRPr="004C35AD" w:rsidRDefault="002859B0" w:rsidP="002859B0">
      <w:pPr>
        <w:pStyle w:val="ListParagraph"/>
        <w:numPr>
          <w:ilvl w:val="0"/>
          <w:numId w:val="3"/>
        </w:numPr>
        <w:suppressAutoHyphens/>
        <w:spacing w:after="0" w:line="240" w:lineRule="auto"/>
        <w:ind w:right="2080"/>
        <w:jc w:val="both"/>
        <w:rPr>
          <w:rFonts w:cstheme="minorHAnsi"/>
        </w:rPr>
      </w:pPr>
      <w:r>
        <w:rPr>
          <w:rFonts w:cstheme="minorHAnsi"/>
          <w:noProof/>
          <w:lang w:eastAsia="en-GB"/>
        </w:rPr>
        <mc:AlternateContent>
          <mc:Choice Requires="wps">
            <w:drawing>
              <wp:anchor distT="0" distB="0" distL="114300" distR="114300" simplePos="0" relativeHeight="251663360" behindDoc="0" locked="0" layoutInCell="1" allowOverlap="1" wp14:anchorId="5C571806" wp14:editId="144174F3">
                <wp:simplePos x="0" y="0"/>
                <wp:positionH relativeFrom="column">
                  <wp:posOffset>4991100</wp:posOffset>
                </wp:positionH>
                <wp:positionV relativeFrom="paragraph">
                  <wp:posOffset>65405</wp:posOffset>
                </wp:positionV>
                <wp:extent cx="730250" cy="336550"/>
                <wp:effectExtent l="9525" t="8255" r="1270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D7E1D" id="Rectangle 3" o:spid="_x0000_s1026" style="position:absolute;margin-left:393pt;margin-top:5.15pt;width:57.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"/>
            </w:pict>
          </mc:Fallback>
        </mc:AlternateContent>
      </w:r>
      <w:r w:rsidRPr="004C35AD">
        <w:rPr>
          <w:rFonts w:cstheme="minorHAnsi"/>
        </w:rPr>
        <w:t>You agree to take all reasonable precautions to ensure the confidentiality of information you receive as part of your role. This includes returning any printed protocols, summaries or applications to the lead researcher, not discussing any information where it can be overheard, and not working with the information where it can be seen by others.</w:t>
      </w:r>
    </w:p>
    <w:p w:rsidR="002859B0" w:rsidRPr="004C35AD" w:rsidRDefault="002859B0" w:rsidP="002859B0">
      <w:pPr>
        <w:suppressAutoHyphens/>
        <w:spacing w:after="0"/>
        <w:ind w:left="360" w:right="2080"/>
        <w:jc w:val="both"/>
        <w:rPr>
          <w:rFonts w:cstheme="minorHAnsi"/>
        </w:rPr>
      </w:pPr>
    </w:p>
    <w:p w:rsidR="002859B0" w:rsidRPr="004C35AD" w:rsidRDefault="002859B0" w:rsidP="002859B0">
      <w:pPr>
        <w:pStyle w:val="ListParagraph"/>
        <w:numPr>
          <w:ilvl w:val="0"/>
          <w:numId w:val="3"/>
        </w:numPr>
        <w:suppressAutoHyphens/>
        <w:spacing w:after="0" w:line="240" w:lineRule="auto"/>
        <w:ind w:right="2080"/>
        <w:jc w:val="both"/>
        <w:rPr>
          <w:rFonts w:cstheme="minorHAnsi"/>
        </w:rPr>
      </w:pPr>
      <w:r>
        <w:rPr>
          <w:rFonts w:cstheme="minorHAnsi"/>
          <w:noProof/>
          <w:lang w:eastAsia="en-GB"/>
        </w:rPr>
        <mc:AlternateContent>
          <mc:Choice Requires="wps">
            <w:drawing>
              <wp:anchor distT="0" distB="0" distL="114300" distR="114300" simplePos="0" relativeHeight="251664384" behindDoc="0" locked="0" layoutInCell="1" allowOverlap="1" wp14:anchorId="2E304ECB" wp14:editId="0E4B8449">
                <wp:simplePos x="0" y="0"/>
                <wp:positionH relativeFrom="column">
                  <wp:posOffset>4991100</wp:posOffset>
                </wp:positionH>
                <wp:positionV relativeFrom="paragraph">
                  <wp:posOffset>41275</wp:posOffset>
                </wp:positionV>
                <wp:extent cx="730250" cy="336550"/>
                <wp:effectExtent l="9525" t="12700" r="1270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E35DC" id="Rectangle 4" o:spid="_x0000_s1026" style="position:absolute;margin-left:393pt;margin-top:3.25pt;width:57.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"/>
            </w:pict>
          </mc:Fallback>
        </mc:AlternateContent>
      </w:r>
      <w:r w:rsidRPr="004C35AD">
        <w:rPr>
          <w:rFonts w:cstheme="minorHAnsi"/>
        </w:rPr>
        <w:t xml:space="preserve">Any information you access as part of being a member of this panel must only be used for the purpose of fulfilling your role within the GCRF </w:t>
      </w:r>
      <w:r w:rsidRPr="004C35AD">
        <w:rPr>
          <w:rFonts w:cstheme="minorHAnsi"/>
          <w:bCs/>
          <w:lang w:eastAsia="en-GB"/>
        </w:rPr>
        <w:t xml:space="preserve">Patient and Public Involvement Panel. </w:t>
      </w:r>
      <w:r w:rsidRPr="004C35AD">
        <w:rPr>
          <w:rFonts w:cstheme="minorHAnsi"/>
        </w:rPr>
        <w:t xml:space="preserve">You will not use this information for any other purpose. </w:t>
      </w:r>
    </w:p>
    <w:p w:rsidR="002859B0" w:rsidRPr="004C35AD" w:rsidRDefault="002859B0" w:rsidP="002859B0">
      <w:pPr>
        <w:pStyle w:val="ListParagraph"/>
        <w:ind w:right="2080"/>
        <w:rPr>
          <w:rFonts w:cstheme="minorHAnsi"/>
        </w:rPr>
      </w:pPr>
    </w:p>
    <w:p w:rsidR="002859B0" w:rsidRPr="004C35AD" w:rsidRDefault="002859B0" w:rsidP="002859B0">
      <w:pPr>
        <w:numPr>
          <w:ilvl w:val="0"/>
          <w:numId w:val="3"/>
        </w:numPr>
        <w:suppressAutoHyphens/>
        <w:spacing w:after="0" w:line="240" w:lineRule="auto"/>
        <w:ind w:right="2080"/>
        <w:jc w:val="both"/>
        <w:rPr>
          <w:rFonts w:cstheme="minorHAnsi"/>
        </w:rPr>
      </w:pPr>
      <w:r>
        <w:rPr>
          <w:rFonts w:cstheme="minorHAnsi"/>
          <w:noProof/>
          <w:lang w:eastAsia="en-GB"/>
        </w:rPr>
        <mc:AlternateContent>
          <mc:Choice Requires="wps">
            <w:drawing>
              <wp:anchor distT="0" distB="0" distL="114300" distR="114300" simplePos="0" relativeHeight="251665408" behindDoc="0" locked="0" layoutInCell="1" allowOverlap="1" wp14:anchorId="021EA363" wp14:editId="6C6ECFA6">
                <wp:simplePos x="0" y="0"/>
                <wp:positionH relativeFrom="column">
                  <wp:posOffset>4991100</wp:posOffset>
                </wp:positionH>
                <wp:positionV relativeFrom="paragraph">
                  <wp:posOffset>33020</wp:posOffset>
                </wp:positionV>
                <wp:extent cx="730250" cy="336550"/>
                <wp:effectExtent l="9525" t="13970" r="1270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0CDDF" id="Rectangle 5" o:spid="_x0000_s1026" style="position:absolute;margin-left:393pt;margin-top:2.6pt;width:57.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"/>
            </w:pict>
          </mc:Fallback>
        </mc:AlternateContent>
      </w:r>
      <w:r w:rsidRPr="004C35AD">
        <w:rPr>
          <w:rFonts w:cstheme="minorHAnsi"/>
        </w:rPr>
        <w:t xml:space="preserve">If you detect, suspect or witness any actual or suspected incident that may be a breach of security or data protection, or any situation which may lead to a potential breach of security or data protection you must immediately report this to the GCRF Manger: </w:t>
      </w:r>
      <w:r>
        <w:rPr>
          <w:rFonts w:cstheme="minorHAnsi"/>
        </w:rPr>
        <w:t>Lynn Prentice</w:t>
      </w:r>
      <w:r w:rsidRPr="004C35AD">
        <w:rPr>
          <w:rFonts w:cstheme="minorHAnsi"/>
        </w:rPr>
        <w:t>.</w:t>
      </w:r>
    </w:p>
    <w:p w:rsidR="002859B0" w:rsidRPr="004C35AD" w:rsidRDefault="002859B0" w:rsidP="002859B0">
      <w:pPr>
        <w:pStyle w:val="ListParagraph"/>
        <w:jc w:val="both"/>
        <w:rPr>
          <w:rFonts w:cstheme="minorHAnsi"/>
        </w:rPr>
      </w:pPr>
    </w:p>
    <w:p w:rsidR="002859B0" w:rsidRPr="00953B9F" w:rsidRDefault="002859B0" w:rsidP="002859B0">
      <w:pPr>
        <w:jc w:val="both"/>
        <w:rPr>
          <w:rFonts w:ascii="Tahoma" w:hAnsi="Tahoma" w:cs="Tahoma"/>
        </w:rPr>
      </w:pPr>
    </w:p>
    <w:p w:rsidR="002859B0" w:rsidRPr="00953B9F" w:rsidRDefault="002859B0" w:rsidP="002859B0">
      <w:pPr>
        <w:jc w:val="both"/>
        <w:rPr>
          <w:rFonts w:ascii="Tahoma" w:hAnsi="Tahoma" w:cs="Tahoma"/>
        </w:rPr>
      </w:pPr>
    </w:p>
    <w:tbl>
      <w:tblPr>
        <w:tblStyle w:val="TableGrid"/>
        <w:tblpPr w:leftFromText="180" w:rightFromText="180" w:vertAnchor="text" w:horzAnchor="margin" w:tblpXSpec="center" w:tblpY="48"/>
        <w:tblW w:w="0" w:type="auto"/>
        <w:tblLook w:val="04A0" w:firstRow="1" w:lastRow="0" w:firstColumn="1" w:lastColumn="0" w:noHBand="0" w:noVBand="1"/>
      </w:tblPr>
      <w:tblGrid>
        <w:gridCol w:w="3229"/>
        <w:gridCol w:w="5787"/>
      </w:tblGrid>
      <w:tr w:rsidR="002859B0" w:rsidRPr="002859B0" w:rsidTr="006D68A6">
        <w:tc>
          <w:tcPr>
            <w:tcW w:w="2235" w:type="dxa"/>
          </w:tcPr>
          <w:p w:rsidR="002859B0" w:rsidRPr="002859B0" w:rsidRDefault="002859B0" w:rsidP="006D68A6">
            <w:pPr>
              <w:pStyle w:val="ListParagraph"/>
              <w:ind w:left="0" w:right="-138"/>
              <w:jc w:val="both"/>
              <w:rPr>
                <w:rFonts w:cstheme="minorHAnsi"/>
                <w:b/>
              </w:rPr>
            </w:pPr>
          </w:p>
          <w:p w:rsidR="002859B0" w:rsidRPr="002859B0" w:rsidRDefault="002859B0" w:rsidP="006D68A6">
            <w:pPr>
              <w:pStyle w:val="ListParagraph"/>
              <w:ind w:left="0" w:right="1522"/>
              <w:jc w:val="both"/>
              <w:rPr>
                <w:rFonts w:cstheme="minorHAnsi"/>
                <w:b/>
              </w:rPr>
            </w:pPr>
            <w:r w:rsidRPr="002859B0">
              <w:rPr>
                <w:rFonts w:cstheme="minorHAnsi"/>
                <w:b/>
              </w:rPr>
              <w:t>Print name:</w:t>
            </w:r>
          </w:p>
        </w:tc>
        <w:tc>
          <w:tcPr>
            <w:tcW w:w="6287" w:type="dxa"/>
          </w:tcPr>
          <w:p w:rsidR="002859B0" w:rsidRPr="002859B0" w:rsidRDefault="002859B0" w:rsidP="006D68A6">
            <w:pPr>
              <w:pStyle w:val="ListParagraph"/>
              <w:ind w:left="0" w:right="2080"/>
              <w:jc w:val="both"/>
              <w:rPr>
                <w:rFonts w:cstheme="minorHAnsi"/>
              </w:rPr>
            </w:pPr>
          </w:p>
        </w:tc>
      </w:tr>
      <w:tr w:rsidR="002859B0" w:rsidRPr="002859B0" w:rsidTr="006D68A6">
        <w:tc>
          <w:tcPr>
            <w:tcW w:w="2235" w:type="dxa"/>
          </w:tcPr>
          <w:p w:rsidR="002859B0" w:rsidRPr="002859B0" w:rsidRDefault="002859B0" w:rsidP="006D68A6">
            <w:pPr>
              <w:pStyle w:val="ListParagraph"/>
              <w:ind w:left="0" w:right="2080"/>
              <w:jc w:val="both"/>
              <w:rPr>
                <w:rFonts w:cstheme="minorHAnsi"/>
                <w:b/>
              </w:rPr>
            </w:pPr>
          </w:p>
          <w:p w:rsidR="002859B0" w:rsidRPr="002859B0" w:rsidRDefault="002859B0" w:rsidP="006D68A6">
            <w:pPr>
              <w:pStyle w:val="ListParagraph"/>
              <w:ind w:left="0" w:right="2080"/>
              <w:jc w:val="both"/>
              <w:rPr>
                <w:rFonts w:cstheme="minorHAnsi"/>
                <w:b/>
              </w:rPr>
            </w:pPr>
            <w:r w:rsidRPr="002859B0">
              <w:rPr>
                <w:rFonts w:cstheme="minorHAnsi"/>
                <w:b/>
              </w:rPr>
              <w:t>Signature:</w:t>
            </w:r>
          </w:p>
        </w:tc>
        <w:tc>
          <w:tcPr>
            <w:tcW w:w="6287" w:type="dxa"/>
          </w:tcPr>
          <w:p w:rsidR="002859B0" w:rsidRPr="002859B0" w:rsidRDefault="002859B0" w:rsidP="006D68A6">
            <w:pPr>
              <w:pStyle w:val="ListParagraph"/>
              <w:ind w:left="0" w:right="2080"/>
              <w:jc w:val="both"/>
              <w:rPr>
                <w:rFonts w:cstheme="minorHAnsi"/>
              </w:rPr>
            </w:pPr>
          </w:p>
        </w:tc>
      </w:tr>
      <w:tr w:rsidR="002859B0" w:rsidRPr="002859B0" w:rsidTr="006D68A6">
        <w:tc>
          <w:tcPr>
            <w:tcW w:w="2235" w:type="dxa"/>
          </w:tcPr>
          <w:p w:rsidR="002859B0" w:rsidRPr="002859B0" w:rsidRDefault="002859B0" w:rsidP="006D68A6">
            <w:pPr>
              <w:pStyle w:val="ListParagraph"/>
              <w:ind w:left="0" w:right="2080"/>
              <w:jc w:val="both"/>
              <w:rPr>
                <w:rFonts w:cstheme="minorHAnsi"/>
                <w:b/>
              </w:rPr>
            </w:pPr>
          </w:p>
          <w:p w:rsidR="002859B0" w:rsidRPr="002859B0" w:rsidRDefault="002859B0" w:rsidP="006D68A6">
            <w:pPr>
              <w:pStyle w:val="ListParagraph"/>
              <w:ind w:left="0" w:right="2080"/>
              <w:jc w:val="both"/>
              <w:rPr>
                <w:rFonts w:cstheme="minorHAnsi"/>
                <w:b/>
              </w:rPr>
            </w:pPr>
            <w:r w:rsidRPr="002859B0">
              <w:rPr>
                <w:rFonts w:cstheme="minorHAnsi"/>
                <w:b/>
              </w:rPr>
              <w:t>Date:</w:t>
            </w:r>
          </w:p>
        </w:tc>
        <w:tc>
          <w:tcPr>
            <w:tcW w:w="6287" w:type="dxa"/>
          </w:tcPr>
          <w:p w:rsidR="002859B0" w:rsidRPr="002859B0" w:rsidRDefault="002859B0" w:rsidP="006D68A6">
            <w:pPr>
              <w:pStyle w:val="ListParagraph"/>
              <w:ind w:left="0" w:right="2080"/>
              <w:jc w:val="both"/>
              <w:rPr>
                <w:rFonts w:cstheme="minorHAnsi"/>
              </w:rPr>
            </w:pPr>
          </w:p>
        </w:tc>
      </w:tr>
    </w:tbl>
    <w:p w:rsidR="00D65557" w:rsidRPr="002859B0" w:rsidRDefault="00D65557" w:rsidP="00CB5CFB">
      <w:pPr>
        <w:rPr>
          <w:b/>
        </w:rPr>
      </w:pPr>
      <w:bookmarkStart w:id="0" w:name="_GoBack"/>
      <w:bookmarkEnd w:id="0"/>
    </w:p>
    <w:sectPr w:rsidR="00D65557" w:rsidRPr="002859B0" w:rsidSect="00CB44B0">
      <w:headerReference w:type="default" r:id="rId9"/>
      <w:footerReference w:type="default" r:id="rId10"/>
      <w:pgSz w:w="11906" w:h="16838"/>
      <w:pgMar w:top="1440" w:right="1440" w:bottom="1440" w:left="1440"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1C" w:rsidRDefault="0081651C" w:rsidP="0081651C">
      <w:pPr>
        <w:spacing w:after="0" w:line="240" w:lineRule="auto"/>
      </w:pPr>
      <w:r>
        <w:separator/>
      </w:r>
    </w:p>
  </w:endnote>
  <w:endnote w:type="continuationSeparator" w:id="0">
    <w:p w:rsidR="0081651C" w:rsidRDefault="0081651C" w:rsidP="0081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412347"/>
      <w:docPartObj>
        <w:docPartGallery w:val="Page Numbers (Bottom of Page)"/>
        <w:docPartUnique/>
      </w:docPartObj>
    </w:sdtPr>
    <w:sdtEndPr/>
    <w:sdtContent>
      <w:sdt>
        <w:sdtPr>
          <w:id w:val="-1769616900"/>
          <w:docPartObj>
            <w:docPartGallery w:val="Page Numbers (Top of Page)"/>
            <w:docPartUnique/>
          </w:docPartObj>
        </w:sdtPr>
        <w:sdtEndPr/>
        <w:sdtContent>
          <w:p w:rsidR="00885AAE" w:rsidRDefault="00A4512A" w:rsidP="00885AAE">
            <w:pPr>
              <w:pStyle w:val="Footer"/>
              <w:tabs>
                <w:tab w:val="left" w:pos="6090"/>
              </w:tabs>
              <w:rPr>
                <w:bCs/>
                <w:sz w:val="24"/>
                <w:szCs w:val="24"/>
              </w:rPr>
            </w:pPr>
            <w:r>
              <w:t>Form</w:t>
            </w:r>
            <w:r w:rsidR="00885AAE">
              <w:t xml:space="preserve"> </w:t>
            </w:r>
            <w:r w:rsidR="002859B0">
              <w:t>57.007D</w:t>
            </w:r>
            <w:r w:rsidR="00885AAE" w:rsidRPr="002859B0">
              <w:t xml:space="preserve">, version </w:t>
            </w:r>
            <w:r w:rsidR="002859B0">
              <w:t>2.0</w:t>
            </w:r>
            <w:r w:rsidR="002859B0">
              <w:tab/>
            </w:r>
            <w:r w:rsidR="00885AAE">
              <w:tab/>
            </w:r>
            <w:r w:rsidR="00885AAE">
              <w:tab/>
            </w:r>
            <w:r w:rsidR="00885AAE" w:rsidRPr="00885AAE">
              <w:t xml:space="preserve">Page </w:t>
            </w:r>
            <w:r w:rsidR="00885AAE" w:rsidRPr="00885AAE">
              <w:rPr>
                <w:bCs/>
                <w:sz w:val="24"/>
                <w:szCs w:val="24"/>
              </w:rPr>
              <w:fldChar w:fldCharType="begin"/>
            </w:r>
            <w:r w:rsidR="00885AAE" w:rsidRPr="00885AAE">
              <w:rPr>
                <w:bCs/>
              </w:rPr>
              <w:instrText xml:space="preserve"> PAGE </w:instrText>
            </w:r>
            <w:r w:rsidR="00885AAE" w:rsidRPr="00885AAE">
              <w:rPr>
                <w:bCs/>
                <w:sz w:val="24"/>
                <w:szCs w:val="24"/>
              </w:rPr>
              <w:fldChar w:fldCharType="separate"/>
            </w:r>
            <w:r w:rsidR="00876095">
              <w:rPr>
                <w:bCs/>
                <w:noProof/>
              </w:rPr>
              <w:t>2</w:t>
            </w:r>
            <w:r w:rsidR="00885AAE" w:rsidRPr="00885AAE">
              <w:rPr>
                <w:bCs/>
                <w:sz w:val="24"/>
                <w:szCs w:val="24"/>
              </w:rPr>
              <w:fldChar w:fldCharType="end"/>
            </w:r>
            <w:r w:rsidR="00885AAE" w:rsidRPr="00885AAE">
              <w:t xml:space="preserve"> of </w:t>
            </w:r>
            <w:r w:rsidR="00885AAE" w:rsidRPr="00885AAE">
              <w:rPr>
                <w:bCs/>
                <w:sz w:val="24"/>
                <w:szCs w:val="24"/>
              </w:rPr>
              <w:fldChar w:fldCharType="begin"/>
            </w:r>
            <w:r w:rsidR="00885AAE" w:rsidRPr="00885AAE">
              <w:rPr>
                <w:bCs/>
              </w:rPr>
              <w:instrText xml:space="preserve"> NUMPAGES  </w:instrText>
            </w:r>
            <w:r w:rsidR="00885AAE" w:rsidRPr="00885AAE">
              <w:rPr>
                <w:bCs/>
                <w:sz w:val="24"/>
                <w:szCs w:val="24"/>
              </w:rPr>
              <w:fldChar w:fldCharType="separate"/>
            </w:r>
            <w:r w:rsidR="00876095">
              <w:rPr>
                <w:bCs/>
                <w:noProof/>
              </w:rPr>
              <w:t>2</w:t>
            </w:r>
            <w:r w:rsidR="00885AAE" w:rsidRPr="00885AAE">
              <w:rPr>
                <w:bCs/>
                <w:sz w:val="24"/>
                <w:szCs w:val="24"/>
              </w:rPr>
              <w:fldChar w:fldCharType="end"/>
            </w:r>
          </w:p>
          <w:p w:rsidR="00885AAE" w:rsidRPr="00885AAE" w:rsidRDefault="00A4512A" w:rsidP="00CB44B0">
            <w:pPr>
              <w:pStyle w:val="Footer"/>
              <w:spacing w:before="240"/>
            </w:pPr>
            <w:r>
              <w:rPr>
                <w:bCs/>
                <w:color w:val="BFBFBF" w:themeColor="background1" w:themeShade="BF"/>
                <w:sz w:val="16"/>
                <w:szCs w:val="16"/>
              </w:rPr>
              <w:t>Form</w:t>
            </w:r>
            <w:r w:rsidR="001B06FA">
              <w:rPr>
                <w:bCs/>
                <w:color w:val="BFBFBF" w:themeColor="background1" w:themeShade="BF"/>
                <w:sz w:val="16"/>
                <w:szCs w:val="16"/>
              </w:rPr>
              <w:t xml:space="preserve"> t</w:t>
            </w:r>
            <w:r>
              <w:rPr>
                <w:bCs/>
                <w:color w:val="BFBFBF" w:themeColor="background1" w:themeShade="BF"/>
                <w:sz w:val="16"/>
                <w:szCs w:val="16"/>
              </w:rPr>
              <w:t>emplate version 1</w:t>
            </w:r>
            <w:r w:rsidR="00DF4200">
              <w:rPr>
                <w:bCs/>
                <w:color w:val="BFBFBF" w:themeColor="background1" w:themeShade="BF"/>
                <w:sz w:val="16"/>
                <w:szCs w:val="16"/>
              </w:rPr>
              <w:t>.0</w:t>
            </w:r>
          </w:p>
        </w:sdtContent>
      </w:sdt>
    </w:sdtContent>
  </w:sdt>
  <w:p w:rsidR="00885AAE" w:rsidRDefault="0088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1C" w:rsidRDefault="0081651C" w:rsidP="0081651C">
      <w:pPr>
        <w:spacing w:after="0" w:line="240" w:lineRule="auto"/>
      </w:pPr>
      <w:r>
        <w:separator/>
      </w:r>
    </w:p>
  </w:footnote>
  <w:footnote w:type="continuationSeparator" w:id="0">
    <w:p w:rsidR="0081651C" w:rsidRDefault="0081651C" w:rsidP="00816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1C" w:rsidRPr="004F4697" w:rsidRDefault="0081651C">
    <w:pPr>
      <w:pStyle w:val="Header"/>
      <w:rPr>
        <w:b/>
        <w:color w:val="A6A6A6" w:themeColor="background1" w:themeShade="A6"/>
        <w:lang w:val="en-US"/>
      </w:rPr>
    </w:pPr>
    <w:r w:rsidRPr="004F4697">
      <w:rPr>
        <w:b/>
        <w:lang w:val="en-US"/>
      </w:rPr>
      <w:t xml:space="preserve">Glasgow Clinical Trials Unit </w:t>
    </w:r>
    <w:r w:rsidR="00A4512A">
      <w:rPr>
        <w:b/>
        <w:lang w:val="en-US"/>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92E55"/>
    <w:multiLevelType w:val="hybridMultilevel"/>
    <w:tmpl w:val="F43C47BA"/>
    <w:lvl w:ilvl="0" w:tplc="192AD8C8">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A2FF1"/>
    <w:multiLevelType w:val="hybridMultilevel"/>
    <w:tmpl w:val="5650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352F0A"/>
    <w:multiLevelType w:val="hybridMultilevel"/>
    <w:tmpl w:val="58CA9314"/>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83273B"/>
    <w:multiLevelType w:val="hybridMultilevel"/>
    <w:tmpl w:val="C5A03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4"/>
    <w:rsid w:val="00030D9F"/>
    <w:rsid w:val="000C5C57"/>
    <w:rsid w:val="001820B6"/>
    <w:rsid w:val="001B06FA"/>
    <w:rsid w:val="001D7427"/>
    <w:rsid w:val="002859B0"/>
    <w:rsid w:val="003B6F67"/>
    <w:rsid w:val="003F3361"/>
    <w:rsid w:val="0046508F"/>
    <w:rsid w:val="004F4697"/>
    <w:rsid w:val="00677F98"/>
    <w:rsid w:val="006905E9"/>
    <w:rsid w:val="007C0301"/>
    <w:rsid w:val="007C1217"/>
    <w:rsid w:val="0081651C"/>
    <w:rsid w:val="00876095"/>
    <w:rsid w:val="00885AAE"/>
    <w:rsid w:val="008C33E4"/>
    <w:rsid w:val="008E57F5"/>
    <w:rsid w:val="009B214D"/>
    <w:rsid w:val="009F195B"/>
    <w:rsid w:val="00A27FDA"/>
    <w:rsid w:val="00A4512A"/>
    <w:rsid w:val="00AE1CF0"/>
    <w:rsid w:val="00BC57E7"/>
    <w:rsid w:val="00BE6E21"/>
    <w:rsid w:val="00BF7A01"/>
    <w:rsid w:val="00C302BA"/>
    <w:rsid w:val="00C514A3"/>
    <w:rsid w:val="00CB44B0"/>
    <w:rsid w:val="00CB5CFB"/>
    <w:rsid w:val="00D65557"/>
    <w:rsid w:val="00DB682C"/>
    <w:rsid w:val="00DD569E"/>
    <w:rsid w:val="00DF4200"/>
    <w:rsid w:val="00EA2D6C"/>
    <w:rsid w:val="00EA7C08"/>
    <w:rsid w:val="00F077E4"/>
    <w:rsid w:val="00F65C8E"/>
    <w:rsid w:val="00FE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B73871"/>
  <w15:chartTrackingRefBased/>
  <w15:docId w15:val="{54759385-858C-4D57-A21C-5133E0D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1C"/>
  </w:style>
  <w:style w:type="paragraph" w:styleId="Footer">
    <w:name w:val="footer"/>
    <w:basedOn w:val="Normal"/>
    <w:link w:val="FooterChar"/>
    <w:uiPriority w:val="99"/>
    <w:unhideWhenUsed/>
    <w:rsid w:val="00816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1C"/>
  </w:style>
  <w:style w:type="paragraph" w:styleId="BalloonText">
    <w:name w:val="Balloon Text"/>
    <w:basedOn w:val="Normal"/>
    <w:link w:val="BalloonTextChar"/>
    <w:uiPriority w:val="99"/>
    <w:semiHidden/>
    <w:unhideWhenUsed/>
    <w:rsid w:val="00816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1C"/>
    <w:rPr>
      <w:rFonts w:ascii="Segoe UI" w:hAnsi="Segoe UI" w:cs="Segoe UI"/>
      <w:sz w:val="18"/>
      <w:szCs w:val="18"/>
    </w:rPr>
  </w:style>
  <w:style w:type="table" w:styleId="TableGrid">
    <w:name w:val="Table Grid"/>
    <w:basedOn w:val="TableNormal"/>
    <w:uiPriority w:val="59"/>
    <w:rsid w:val="00816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Brunton</dc:creator>
  <cp:keywords/>
  <dc:description/>
  <cp:lastModifiedBy>Claire Brunton</cp:lastModifiedBy>
  <cp:revision>2</cp:revision>
  <dcterms:created xsi:type="dcterms:W3CDTF">2023-08-22T12:54:00Z</dcterms:created>
  <dcterms:modified xsi:type="dcterms:W3CDTF">2023-08-22T12:54:00Z</dcterms:modified>
</cp:coreProperties>
</file>