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C047FC" w14:paraId="5D81AC41" w14:textId="77777777" w:rsidTr="0071512E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00E76FC" w14:textId="77777777" w:rsidR="00C047FC" w:rsidRPr="005A4F26" w:rsidRDefault="00C047FC" w:rsidP="0071512E">
            <w:pPr>
              <w:rPr>
                <w:rFonts w:cstheme="minorHAnsi"/>
              </w:rPr>
            </w:pPr>
            <w:r>
              <w:rPr>
                <w:rFonts w:cstheme="minorHAnsi"/>
              </w:rPr>
              <w:t>Form N</w:t>
            </w:r>
            <w:r w:rsidRPr="005A4F26">
              <w:rPr>
                <w:rFonts w:cstheme="minorHAnsi"/>
              </w:rPr>
              <w:t>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5F763A3" w14:textId="1EE17D81" w:rsidR="00C047FC" w:rsidRPr="005A4F26" w:rsidRDefault="00C047FC" w:rsidP="007151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55.005B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EB61FA2" w14:textId="77777777" w:rsidR="00C047FC" w:rsidRPr="005A4F26" w:rsidRDefault="00C047FC" w:rsidP="0071512E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3BE86544" w14:textId="28056361" w:rsidR="00C047FC" w:rsidRPr="005A4F26" w:rsidRDefault="00C047FC" w:rsidP="007151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2.0</w:t>
            </w:r>
          </w:p>
        </w:tc>
      </w:tr>
      <w:tr w:rsidR="00C047FC" w14:paraId="7AFB93F3" w14:textId="77777777" w:rsidTr="0071512E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2BA2F8D" w14:textId="77777777" w:rsidR="00C047FC" w:rsidRPr="005A4F26" w:rsidRDefault="00C047FC" w:rsidP="0071512E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BBF0A51" w14:textId="3505BE0A" w:rsidR="00C047FC" w:rsidRPr="005A4F26" w:rsidRDefault="00C047FC" w:rsidP="007151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RSI Summary</w:t>
            </w:r>
          </w:p>
        </w:tc>
      </w:tr>
    </w:tbl>
    <w:p w14:paraId="38585A61" w14:textId="77777777" w:rsidR="00C047FC" w:rsidRDefault="00C047FC" w:rsidP="003C05D9">
      <w:pPr>
        <w:tabs>
          <w:tab w:val="left" w:pos="4350"/>
        </w:tabs>
        <w:rPr>
          <w:rFonts w:cstheme="minorHAnsi"/>
          <w:b/>
          <w:color w:val="FF0000"/>
        </w:rPr>
      </w:pPr>
    </w:p>
    <w:p w14:paraId="635F5CD2" w14:textId="77777777" w:rsidR="00EB6324" w:rsidRPr="00C047FC" w:rsidRDefault="000B5B2D" w:rsidP="003C05D9">
      <w:pPr>
        <w:tabs>
          <w:tab w:val="left" w:pos="4350"/>
        </w:tabs>
        <w:rPr>
          <w:rFonts w:cstheme="minorHAnsi"/>
          <w:b/>
          <w:color w:val="FF0000"/>
        </w:rPr>
      </w:pPr>
      <w:r w:rsidRPr="00C047FC">
        <w:rPr>
          <w:rFonts w:cstheme="minorHAnsi"/>
          <w:b/>
          <w:color w:val="FF0000"/>
        </w:rPr>
        <w:t>Text in red to be deleted upon completion of form</w:t>
      </w:r>
      <w:r w:rsidR="003C05D9" w:rsidRPr="00C047FC">
        <w:rPr>
          <w:rFonts w:cstheme="minorHAnsi"/>
          <w:b/>
          <w:color w:val="FF0000"/>
        </w:rPr>
        <w:tab/>
      </w:r>
    </w:p>
    <w:p w14:paraId="5C78CE29" w14:textId="77777777" w:rsidR="000B5B2D" w:rsidRPr="00C047FC" w:rsidRDefault="000B5B2D" w:rsidP="003C05D9">
      <w:pPr>
        <w:tabs>
          <w:tab w:val="left" w:pos="4350"/>
        </w:tabs>
        <w:rPr>
          <w:rFonts w:cstheme="minorHAnsi"/>
          <w:b/>
          <w:color w:val="FF0000"/>
        </w:rPr>
      </w:pPr>
      <w:r w:rsidRPr="00C047FC">
        <w:rPr>
          <w:rFonts w:cstheme="minorHAnsi"/>
          <w:b/>
          <w:color w:val="FF0000"/>
        </w:rPr>
        <w:t>Note: Multiple IMPs may be collated into the RSI where this occurs the text should be updated accordingly</w:t>
      </w:r>
    </w:p>
    <w:p w14:paraId="2189EDFD" w14:textId="77777777" w:rsidR="002319A2" w:rsidRPr="00C047FC" w:rsidRDefault="002319A2" w:rsidP="003C05D9">
      <w:pPr>
        <w:tabs>
          <w:tab w:val="left" w:pos="4350"/>
        </w:tabs>
        <w:rPr>
          <w:rFonts w:cstheme="minorHAnsi"/>
          <w:b/>
          <w:color w:val="FF0000"/>
        </w:rPr>
      </w:pPr>
      <w:r w:rsidRPr="00C047FC">
        <w:rPr>
          <w:rFonts w:cstheme="minorHAnsi"/>
          <w:b/>
          <w:color w:val="FF0000"/>
        </w:rPr>
        <w:t>This form may be amended to suit the requirements of the trial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</w:tblGrid>
      <w:tr w:rsidR="003C05D9" w:rsidRPr="00C047FC" w14:paraId="2A7AD79B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437BB663" w14:textId="77777777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Trial</w:t>
            </w:r>
          </w:p>
        </w:tc>
        <w:tc>
          <w:tcPr>
            <w:tcW w:w="5205" w:type="dxa"/>
          </w:tcPr>
          <w:p w14:paraId="7C10C5A2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3964EC8C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45AE239C" w14:textId="4921EC0B" w:rsidR="003C05D9" w:rsidRPr="00C047FC" w:rsidRDefault="003C05D9" w:rsidP="00994627">
            <w:pPr>
              <w:rPr>
                <w:rFonts w:cstheme="minorHAnsi"/>
                <w:b/>
                <w:color w:val="FF0000"/>
              </w:rPr>
            </w:pPr>
            <w:r w:rsidRPr="00C047FC">
              <w:rPr>
                <w:rFonts w:cstheme="minorHAnsi"/>
                <w:b/>
              </w:rPr>
              <w:t>IMP</w:t>
            </w:r>
            <w:r w:rsidR="002931FF" w:rsidRPr="00C047FC">
              <w:rPr>
                <w:rFonts w:cstheme="minorHAnsi"/>
                <w:b/>
              </w:rPr>
              <w:t>(s)</w:t>
            </w:r>
          </w:p>
        </w:tc>
        <w:tc>
          <w:tcPr>
            <w:tcW w:w="5205" w:type="dxa"/>
          </w:tcPr>
          <w:p w14:paraId="4498EA65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6E8D43AA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6FD3981D" w14:textId="33701223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Current version of the SmPC/</w:t>
            </w:r>
            <w:r w:rsidR="002931FF" w:rsidRPr="00C047FC">
              <w:rPr>
                <w:rFonts w:cstheme="minorHAnsi"/>
                <w:b/>
              </w:rPr>
              <w:t xml:space="preserve">IB </w:t>
            </w:r>
            <w:r w:rsidRPr="00C047FC">
              <w:rPr>
                <w:rFonts w:cstheme="minorHAnsi"/>
                <w:b/>
              </w:rPr>
              <w:t>for clinical management</w:t>
            </w:r>
          </w:p>
        </w:tc>
        <w:tc>
          <w:tcPr>
            <w:tcW w:w="5205" w:type="dxa"/>
          </w:tcPr>
          <w:p w14:paraId="237F87E6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11FE8EAA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3C69CB0B" w14:textId="77777777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Version of IB/SmPC acting as RSI</w:t>
            </w:r>
          </w:p>
        </w:tc>
        <w:tc>
          <w:tcPr>
            <w:tcW w:w="5205" w:type="dxa"/>
          </w:tcPr>
          <w:p w14:paraId="419F2942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266C6B24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6DB3C062" w14:textId="77777777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Marketing authorisation holder</w:t>
            </w:r>
          </w:p>
        </w:tc>
        <w:tc>
          <w:tcPr>
            <w:tcW w:w="5205" w:type="dxa"/>
          </w:tcPr>
          <w:p w14:paraId="23E86B63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1FC1D51C" w14:textId="77777777" w:rsidTr="00994627">
        <w:trPr>
          <w:trHeight w:val="276"/>
        </w:trPr>
        <w:tc>
          <w:tcPr>
            <w:tcW w:w="5204" w:type="dxa"/>
            <w:shd w:val="clear" w:color="auto" w:fill="D9D9D9" w:themeFill="background1" w:themeFillShade="D9"/>
          </w:tcPr>
          <w:p w14:paraId="28570412" w14:textId="77777777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Marketing authorisation number</w:t>
            </w:r>
          </w:p>
        </w:tc>
        <w:tc>
          <w:tcPr>
            <w:tcW w:w="5205" w:type="dxa"/>
          </w:tcPr>
          <w:p w14:paraId="2D43DEA9" w14:textId="77777777" w:rsidR="003C05D9" w:rsidRPr="00C047FC" w:rsidRDefault="003C05D9" w:rsidP="0099462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C05D9" w:rsidRPr="00C047FC" w14:paraId="1EE510D8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6A19533C" w14:textId="77777777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Sponsor ref.</w:t>
            </w:r>
          </w:p>
        </w:tc>
        <w:tc>
          <w:tcPr>
            <w:tcW w:w="5205" w:type="dxa"/>
          </w:tcPr>
          <w:p w14:paraId="689B0A3F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54942CF7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54C3EEE8" w14:textId="6D74A4B9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Other IMP</w:t>
            </w:r>
            <w:r w:rsidR="002931FF" w:rsidRPr="00C047FC">
              <w:rPr>
                <w:rFonts w:cstheme="minorHAnsi"/>
                <w:b/>
              </w:rPr>
              <w:t>s</w:t>
            </w:r>
            <w:r w:rsidRPr="00C047FC">
              <w:rPr>
                <w:rFonts w:cstheme="minorHAnsi"/>
                <w:b/>
              </w:rPr>
              <w:t xml:space="preserve"> used in trial</w:t>
            </w:r>
          </w:p>
        </w:tc>
        <w:tc>
          <w:tcPr>
            <w:tcW w:w="5205" w:type="dxa"/>
          </w:tcPr>
          <w:p w14:paraId="7BB11C36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7EC5E4A3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538DE88E" w14:textId="2EE04F82" w:rsidR="003C05D9" w:rsidRPr="00C047FC" w:rsidRDefault="002931FF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IRAS Number or other unique identifier</w:t>
            </w:r>
          </w:p>
        </w:tc>
        <w:tc>
          <w:tcPr>
            <w:tcW w:w="5205" w:type="dxa"/>
          </w:tcPr>
          <w:p w14:paraId="061F6DD9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6695DE74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08E13402" w14:textId="77777777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>CTA</w:t>
            </w:r>
          </w:p>
        </w:tc>
        <w:tc>
          <w:tcPr>
            <w:tcW w:w="5205" w:type="dxa"/>
          </w:tcPr>
          <w:p w14:paraId="4294EEB1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  <w:tr w:rsidR="003C05D9" w:rsidRPr="00C047FC" w14:paraId="042950D0" w14:textId="77777777" w:rsidTr="00994627">
        <w:tc>
          <w:tcPr>
            <w:tcW w:w="5204" w:type="dxa"/>
            <w:shd w:val="clear" w:color="auto" w:fill="D9D9D9" w:themeFill="background1" w:themeFillShade="D9"/>
          </w:tcPr>
          <w:p w14:paraId="1E840666" w14:textId="77777777" w:rsidR="003C05D9" w:rsidRPr="00C047FC" w:rsidRDefault="003C05D9" w:rsidP="00994627">
            <w:pPr>
              <w:rPr>
                <w:rFonts w:cstheme="minorHAnsi"/>
                <w:b/>
              </w:rPr>
            </w:pPr>
            <w:r w:rsidRPr="00C047FC">
              <w:rPr>
                <w:rFonts w:cstheme="minorHAnsi"/>
                <w:b/>
              </w:rPr>
              <w:t xml:space="preserve">RSI version no. </w:t>
            </w:r>
          </w:p>
        </w:tc>
        <w:tc>
          <w:tcPr>
            <w:tcW w:w="5205" w:type="dxa"/>
          </w:tcPr>
          <w:p w14:paraId="49F62D01" w14:textId="77777777" w:rsidR="003C05D9" w:rsidRPr="00C047FC" w:rsidRDefault="003C05D9" w:rsidP="00994627">
            <w:pPr>
              <w:rPr>
                <w:rFonts w:cstheme="minorHAnsi"/>
              </w:rPr>
            </w:pPr>
          </w:p>
        </w:tc>
      </w:tr>
    </w:tbl>
    <w:p w14:paraId="400E000C" w14:textId="77777777" w:rsidR="002319A2" w:rsidRPr="00C047FC" w:rsidRDefault="002319A2">
      <w:pPr>
        <w:rPr>
          <w:rFonts w:cstheme="minorHAnsi"/>
          <w:b/>
          <w:sz w:val="20"/>
          <w:szCs w:val="20"/>
        </w:rPr>
      </w:pPr>
    </w:p>
    <w:p w14:paraId="7424A6F2" w14:textId="77777777" w:rsidR="008B3243" w:rsidRPr="00C047FC" w:rsidRDefault="009C0D3E" w:rsidP="0076327A">
      <w:pPr>
        <w:spacing w:line="240" w:lineRule="auto"/>
        <w:rPr>
          <w:rFonts w:cstheme="minorHAnsi"/>
        </w:rPr>
      </w:pPr>
      <w:r w:rsidRPr="00C047FC">
        <w:rPr>
          <w:rFonts w:cstheme="minorHAnsi"/>
        </w:rPr>
        <w:t xml:space="preserve">This document in accordance with the attached </w:t>
      </w:r>
      <w:r w:rsidR="008B3243" w:rsidRPr="00C047FC">
        <w:rPr>
          <w:rFonts w:cstheme="minorHAnsi"/>
        </w:rPr>
        <w:t>SmPC/IB</w:t>
      </w:r>
      <w:r w:rsidRPr="00C047FC">
        <w:rPr>
          <w:rFonts w:cstheme="minorHAnsi"/>
        </w:rPr>
        <w:t xml:space="preserve"> form</w:t>
      </w:r>
      <w:r w:rsidR="00B3070C" w:rsidRPr="00C047FC">
        <w:rPr>
          <w:rFonts w:cstheme="minorHAnsi"/>
        </w:rPr>
        <w:t>s</w:t>
      </w:r>
      <w:r w:rsidRPr="00C047FC">
        <w:rPr>
          <w:rFonts w:cstheme="minorHAnsi"/>
        </w:rPr>
        <w:t xml:space="preserve"> the reference safety information</w:t>
      </w:r>
      <w:r w:rsidR="00B3070C" w:rsidRPr="00C047FC">
        <w:rPr>
          <w:rFonts w:cstheme="minorHAnsi"/>
        </w:rPr>
        <w:t xml:space="preserve"> (RSI)</w:t>
      </w:r>
      <w:r w:rsidRPr="00C047FC">
        <w:rPr>
          <w:rFonts w:cstheme="minorHAnsi"/>
        </w:rPr>
        <w:t xml:space="preserve"> for t</w:t>
      </w:r>
      <w:r w:rsidR="00B3070C" w:rsidRPr="00C047FC">
        <w:rPr>
          <w:rFonts w:cstheme="minorHAnsi"/>
        </w:rPr>
        <w:t xml:space="preserve">his trial. </w:t>
      </w:r>
      <w:r w:rsidR="002319A2" w:rsidRPr="00C047FC">
        <w:rPr>
          <w:rFonts w:cstheme="minorHAnsi"/>
          <w:color w:val="FF0000"/>
        </w:rPr>
        <w:t xml:space="preserve">AMEND AS APPROPRIATE </w:t>
      </w:r>
      <w:r w:rsidR="00B3070C" w:rsidRPr="00C047FC">
        <w:rPr>
          <w:rFonts w:cstheme="minorHAnsi"/>
          <w:color w:val="FF0000"/>
        </w:rPr>
        <w:t>The table below should be used to determine the expectedness of any serious adverse reactions that occur within the trial.</w:t>
      </w:r>
      <w:r w:rsidR="00B3070C" w:rsidRPr="00C047FC">
        <w:rPr>
          <w:rFonts w:cstheme="minorHAnsi"/>
        </w:rPr>
        <w:t xml:space="preserve"> The RSI has undergone clinical review by the Chief Investigator for the trial and is used by the Sponsor Pharmacovigilance manager</w:t>
      </w:r>
      <w:r w:rsidR="002319A2" w:rsidRPr="00C047FC">
        <w:rPr>
          <w:rFonts w:cstheme="minorHAnsi"/>
        </w:rPr>
        <w:t>, CI,</w:t>
      </w:r>
      <w:r w:rsidR="00B3070C" w:rsidRPr="00C047FC">
        <w:rPr>
          <w:rFonts w:cstheme="minorHAnsi"/>
        </w:rPr>
        <w:t xml:space="preserve"> </w:t>
      </w:r>
      <w:r w:rsidR="002319A2" w:rsidRPr="00C047FC">
        <w:rPr>
          <w:rFonts w:cstheme="minorHAnsi"/>
        </w:rPr>
        <w:t>and</w:t>
      </w:r>
      <w:r w:rsidR="00B3070C" w:rsidRPr="00C047FC">
        <w:rPr>
          <w:rFonts w:cstheme="minorHAnsi"/>
        </w:rPr>
        <w:t xml:space="preserve"> their delegate</w:t>
      </w:r>
      <w:r w:rsidR="002319A2" w:rsidRPr="00C047FC">
        <w:rPr>
          <w:rFonts w:cstheme="minorHAnsi"/>
        </w:rPr>
        <w:t>s</w:t>
      </w:r>
      <w:r w:rsidR="00B3070C" w:rsidRPr="00C047FC">
        <w:rPr>
          <w:rFonts w:cstheme="minorHAnsi"/>
        </w:rPr>
        <w:t xml:space="preserve"> to assign expectedness. </w:t>
      </w:r>
    </w:p>
    <w:p w14:paraId="3D2582E8" w14:textId="2CBCE015" w:rsidR="00B3070C" w:rsidRPr="00C047FC" w:rsidRDefault="00B3070C" w:rsidP="0076327A">
      <w:pPr>
        <w:spacing w:line="240" w:lineRule="auto"/>
        <w:rPr>
          <w:rFonts w:cstheme="minorHAnsi"/>
        </w:rPr>
      </w:pPr>
      <w:r w:rsidRPr="00C047FC">
        <w:rPr>
          <w:rFonts w:cstheme="minorHAnsi"/>
        </w:rPr>
        <w:t>Where an event is not listed below</w:t>
      </w:r>
      <w:r w:rsidR="00A21FA5" w:rsidRPr="00C047FC">
        <w:rPr>
          <w:rFonts w:cstheme="minorHAnsi"/>
        </w:rPr>
        <w:t>,</w:t>
      </w:r>
      <w:r w:rsidRPr="00C047FC">
        <w:rPr>
          <w:rFonts w:cstheme="minorHAnsi"/>
        </w:rPr>
        <w:t xml:space="preserve"> or where an event occurs that is of a severity greater than that detailed within the table</w:t>
      </w:r>
      <w:r w:rsidR="002319A2" w:rsidRPr="00C047FC">
        <w:rPr>
          <w:rFonts w:cstheme="minorHAnsi"/>
        </w:rPr>
        <w:t xml:space="preserve"> </w:t>
      </w:r>
      <w:r w:rsidRPr="00C047FC">
        <w:rPr>
          <w:rFonts w:cstheme="minorHAnsi"/>
        </w:rPr>
        <w:t>cannot be classed as an expected adverse event. Synonymous terms a</w:t>
      </w:r>
      <w:r w:rsidR="00A42B8B" w:rsidRPr="00C047FC">
        <w:rPr>
          <w:rFonts w:cstheme="minorHAnsi"/>
        </w:rPr>
        <w:t>re acceptable as listed events</w:t>
      </w:r>
      <w:r w:rsidR="00C25EB6" w:rsidRPr="00C047FC">
        <w:rPr>
          <w:rFonts w:cstheme="minorHAnsi"/>
        </w:rPr>
        <w:t xml:space="preserve"> </w:t>
      </w:r>
      <w:r w:rsidR="00090FBD" w:rsidRPr="00C047FC">
        <w:rPr>
          <w:rFonts w:cstheme="minorHAnsi"/>
        </w:rPr>
        <w:t>e.g.</w:t>
      </w:r>
      <w:r w:rsidR="00C25EB6" w:rsidRPr="00C047FC">
        <w:rPr>
          <w:rFonts w:cstheme="minorHAnsi"/>
        </w:rPr>
        <w:t xml:space="preserve"> hyperkalaemia/elevated serum potassium</w:t>
      </w:r>
      <w:r w:rsidR="00A42B8B" w:rsidRPr="00C047FC">
        <w:rPr>
          <w:rFonts w:cstheme="minorHAnsi"/>
        </w:rPr>
        <w:t>. W</w:t>
      </w:r>
      <w:r w:rsidRPr="00C047FC">
        <w:rPr>
          <w:rFonts w:cstheme="minorHAnsi"/>
        </w:rPr>
        <w:t xml:space="preserve">here greater specificity </w:t>
      </w:r>
      <w:r w:rsidR="00C25EB6" w:rsidRPr="00C047FC">
        <w:rPr>
          <w:rFonts w:cstheme="minorHAnsi"/>
        </w:rPr>
        <w:t>(e.g.</w:t>
      </w:r>
      <w:r w:rsidR="00151839" w:rsidRPr="00C047FC">
        <w:rPr>
          <w:rFonts w:cstheme="minorHAnsi"/>
        </w:rPr>
        <w:t xml:space="preserve"> </w:t>
      </w:r>
      <w:r w:rsidR="00C25EB6" w:rsidRPr="00C047FC">
        <w:rPr>
          <w:rFonts w:cstheme="minorHAnsi"/>
        </w:rPr>
        <w:t xml:space="preserve">acute renal failure is listed, event term is interstitial nephritis) </w:t>
      </w:r>
      <w:r w:rsidRPr="00C047FC">
        <w:rPr>
          <w:rFonts w:cstheme="minorHAnsi"/>
        </w:rPr>
        <w:t>is provided within an SAE term that event cannot be classed as expected</w:t>
      </w:r>
      <w:r w:rsidR="00BB34DB" w:rsidRPr="00C047FC">
        <w:rPr>
          <w:rFonts w:cstheme="minorHAnsi"/>
        </w:rPr>
        <w:t xml:space="preserve"> unless otherwise stated below within section A with justification</w:t>
      </w:r>
      <w:r w:rsidR="00A42B8B" w:rsidRPr="00C047FC">
        <w:rPr>
          <w:rFonts w:cstheme="minorHAnsi"/>
        </w:rPr>
        <w:t xml:space="preserve"> for</w:t>
      </w:r>
      <w:r w:rsidR="00BB34DB" w:rsidRPr="00C047FC">
        <w:rPr>
          <w:rFonts w:cstheme="minorHAnsi"/>
        </w:rPr>
        <w:t xml:space="preserve"> being classified as such within section B</w:t>
      </w:r>
      <w:r w:rsidR="00A21FA5" w:rsidRPr="00C047FC">
        <w:rPr>
          <w:rFonts w:cstheme="minorHAnsi"/>
        </w:rPr>
        <w:t>.</w:t>
      </w:r>
    </w:p>
    <w:p w14:paraId="631BD4D2" w14:textId="6E570345" w:rsidR="00B3070C" w:rsidRPr="00C047FC" w:rsidRDefault="00B3070C" w:rsidP="0076327A">
      <w:pPr>
        <w:spacing w:line="240" w:lineRule="auto"/>
        <w:rPr>
          <w:rFonts w:cstheme="minorHAnsi"/>
        </w:rPr>
      </w:pPr>
      <w:r w:rsidRPr="00C047FC">
        <w:rPr>
          <w:rFonts w:cstheme="minorHAnsi"/>
        </w:rPr>
        <w:t xml:space="preserve">In general </w:t>
      </w:r>
      <w:r w:rsidR="002319A2" w:rsidRPr="00C047FC">
        <w:rPr>
          <w:rFonts w:cstheme="minorHAnsi"/>
        </w:rPr>
        <w:t xml:space="preserve">life threatening or </w:t>
      </w:r>
      <w:r w:rsidRPr="00C047FC">
        <w:rPr>
          <w:rFonts w:cstheme="minorHAnsi"/>
        </w:rPr>
        <w:t>fatal</w:t>
      </w:r>
      <w:r w:rsidR="00BB34DB" w:rsidRPr="00C047FC">
        <w:rPr>
          <w:rFonts w:cstheme="minorHAnsi"/>
        </w:rPr>
        <w:t xml:space="preserve"> SAR</w:t>
      </w:r>
      <w:r w:rsidRPr="00C047FC">
        <w:rPr>
          <w:rFonts w:cstheme="minorHAnsi"/>
        </w:rPr>
        <w:t>s are not considered expected unless</w:t>
      </w:r>
      <w:r w:rsidR="00A42B8B" w:rsidRPr="00C047FC">
        <w:rPr>
          <w:rFonts w:cstheme="minorHAnsi"/>
        </w:rPr>
        <w:t xml:space="preserve"> specifically detailed as such within the table below. Where fatal</w:t>
      </w:r>
      <w:r w:rsidR="002319A2" w:rsidRPr="00C047FC">
        <w:rPr>
          <w:rFonts w:cstheme="minorHAnsi"/>
        </w:rPr>
        <w:t xml:space="preserve"> or </w:t>
      </w:r>
      <w:r w:rsidR="002931FF" w:rsidRPr="00C047FC">
        <w:rPr>
          <w:rFonts w:cstheme="minorHAnsi"/>
        </w:rPr>
        <w:t>life-threatening</w:t>
      </w:r>
      <w:r w:rsidR="00A42B8B" w:rsidRPr="00C047FC">
        <w:rPr>
          <w:rFonts w:cstheme="minorHAnsi"/>
        </w:rPr>
        <w:t xml:space="preserve"> SARs are considered expected </w:t>
      </w:r>
      <w:r w:rsidRPr="00C047FC">
        <w:rPr>
          <w:rFonts w:cstheme="minorHAnsi"/>
        </w:rPr>
        <w:t xml:space="preserve">please see </w:t>
      </w:r>
      <w:r w:rsidR="00A42B8B" w:rsidRPr="00C047FC">
        <w:rPr>
          <w:rFonts w:cstheme="minorHAnsi"/>
        </w:rPr>
        <w:t xml:space="preserve">section B for justification of their inclusion. </w:t>
      </w:r>
      <w:r w:rsidR="00BB34DB" w:rsidRPr="00C047FC">
        <w:rPr>
          <w:rFonts w:cstheme="minorHAnsi"/>
        </w:rPr>
        <w:t xml:space="preserve"> </w:t>
      </w:r>
    </w:p>
    <w:p w14:paraId="3DC074A0" w14:textId="77777777" w:rsidR="00670453" w:rsidRDefault="006704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46ED07" w14:textId="77777777" w:rsidR="00B3070C" w:rsidRPr="00C047FC" w:rsidRDefault="00B3070C">
      <w:pPr>
        <w:rPr>
          <w:rFonts w:cstheme="minorHAnsi"/>
          <w:b/>
        </w:rPr>
      </w:pPr>
      <w:r w:rsidRPr="00C047FC">
        <w:rPr>
          <w:rFonts w:cstheme="minorHAnsi"/>
          <w:b/>
        </w:rPr>
        <w:lastRenderedPageBreak/>
        <w:t>Section A: Listings of Adverse Reactions</w:t>
      </w:r>
      <w:r w:rsidR="002319A2" w:rsidRPr="00C047FC">
        <w:rPr>
          <w:rFonts w:cstheme="minorHAnsi"/>
          <w:b/>
        </w:rPr>
        <w:t xml:space="preserve"> </w:t>
      </w:r>
      <w:r w:rsidR="002319A2" w:rsidRPr="00C047FC">
        <w:rPr>
          <w:rFonts w:cstheme="minorHAnsi"/>
          <w:b/>
          <w:color w:val="FF0000"/>
        </w:rPr>
        <w:t>(For SmPCs only)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1531"/>
        <w:gridCol w:w="605"/>
        <w:gridCol w:w="733"/>
        <w:gridCol w:w="511"/>
        <w:gridCol w:w="500"/>
        <w:gridCol w:w="3284"/>
      </w:tblGrid>
      <w:tr w:rsidR="00C44FE0" w:rsidRPr="00C047FC" w14:paraId="32B8C055" w14:textId="77777777" w:rsidTr="00C44FE0">
        <w:trPr>
          <w:trHeight w:val="1500"/>
          <w:tblHeader/>
        </w:trPr>
        <w:tc>
          <w:tcPr>
            <w:tcW w:w="1649" w:type="pct"/>
            <w:tcBorders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AFFE34A" w14:textId="77777777" w:rsidR="004E6FD7" w:rsidRPr="00C047FC" w:rsidRDefault="004E6FD7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System organ class</w:t>
            </w: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</w:r>
            <w:r w:rsidRPr="00C047FC">
              <w:rPr>
                <w:rFonts w:ascii="Calibri" w:eastAsia="Times New Roman" w:hAnsi="Calibri" w:cs="Calibri"/>
                <w:color w:val="000000"/>
                <w:lang w:eastAsia="en-GB"/>
              </w:rPr>
              <w:t>Listed term</w:t>
            </w:r>
          </w:p>
        </w:tc>
        <w:tc>
          <w:tcPr>
            <w:tcW w:w="716" w:type="pct"/>
            <w:tcBorders>
              <w:left w:val="single" w:sz="4" w:space="0" w:color="auto"/>
              <w:bottom w:val="nil"/>
            </w:tcBorders>
            <w:shd w:val="clear" w:color="000000" w:fill="D8D8D8"/>
            <w:vAlign w:val="center"/>
            <w:hideMark/>
          </w:tcPr>
          <w:p w14:paraId="15BF34C6" w14:textId="77777777" w:rsidR="004E6FD7" w:rsidRPr="00C047FC" w:rsidRDefault="004E6FD7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Frequency</w:t>
            </w:r>
          </w:p>
        </w:tc>
        <w:tc>
          <w:tcPr>
            <w:tcW w:w="1099" w:type="pct"/>
            <w:gridSpan w:val="4"/>
            <w:shd w:val="clear" w:color="000000" w:fill="D8D8D8"/>
            <w:vAlign w:val="center"/>
          </w:tcPr>
          <w:p w14:paraId="63584DD2" w14:textId="77777777" w:rsidR="004E6FD7" w:rsidRPr="00C047FC" w:rsidRDefault="00B3070C" w:rsidP="009C0D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Severity</w:t>
            </w:r>
            <w:r w:rsidR="004E6FD7"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of adverse reaction </w:t>
            </w:r>
            <w:r w:rsidR="004E6FD7"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</w:r>
            <w:r w:rsidR="004E6FD7" w:rsidRPr="00C047F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AR: Adverse reaction</w:t>
            </w:r>
            <w:r w:rsidR="004E6FD7" w:rsidRPr="00C047F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br/>
              <w:t>SAR: Serious adverse reaction</w:t>
            </w:r>
            <w:r w:rsidR="004E6FD7" w:rsidRPr="00C047F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br/>
              <w:t>LF: Life threatening</w:t>
            </w:r>
            <w:r w:rsidR="004E6FD7" w:rsidRPr="00C047F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br/>
            </w:r>
            <w:r w:rsidR="00A01EE2" w:rsidRPr="00C047F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F: </w:t>
            </w:r>
            <w:r w:rsidR="004E6FD7" w:rsidRPr="00C047FC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Fatal*</w:t>
            </w:r>
          </w:p>
        </w:tc>
        <w:tc>
          <w:tcPr>
            <w:tcW w:w="1536" w:type="pct"/>
            <w:tcBorders>
              <w:bottom w:val="nil"/>
            </w:tcBorders>
            <w:shd w:val="clear" w:color="000000" w:fill="D8D8D8"/>
            <w:vAlign w:val="center"/>
            <w:hideMark/>
          </w:tcPr>
          <w:p w14:paraId="4DAE4C7A" w14:textId="77777777" w:rsidR="004E6FD7" w:rsidRPr="00C047FC" w:rsidRDefault="004E6FD7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Further information related to listed event</w:t>
            </w:r>
          </w:p>
        </w:tc>
      </w:tr>
      <w:tr w:rsidR="00C44FE0" w:rsidRPr="00C047FC" w14:paraId="1B408229" w14:textId="77777777" w:rsidTr="00C44FE0">
        <w:trPr>
          <w:trHeight w:val="326"/>
          <w:tblHeader/>
        </w:trPr>
        <w:tc>
          <w:tcPr>
            <w:tcW w:w="164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B758D0" w14:textId="77777777" w:rsidR="004E6FD7" w:rsidRPr="00C047FC" w:rsidRDefault="004E6FD7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8D8D8"/>
            <w:vAlign w:val="center"/>
            <w:hideMark/>
          </w:tcPr>
          <w:p w14:paraId="38D71EE5" w14:textId="77777777" w:rsidR="004E6FD7" w:rsidRPr="00C047FC" w:rsidRDefault="004E6FD7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000000" w:fill="D8D8D8"/>
            <w:vAlign w:val="center"/>
          </w:tcPr>
          <w:p w14:paraId="2FC9106F" w14:textId="77777777" w:rsidR="004E6FD7" w:rsidRPr="00C047FC" w:rsidRDefault="004E6FD7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000000" w:fill="D8D8D8"/>
            <w:vAlign w:val="center"/>
          </w:tcPr>
          <w:p w14:paraId="4F88329D" w14:textId="77777777" w:rsidR="004E6FD7" w:rsidRPr="00C047FC" w:rsidRDefault="004E6FD7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SAR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000000" w:fill="D8D8D8"/>
            <w:vAlign w:val="center"/>
          </w:tcPr>
          <w:p w14:paraId="370A8508" w14:textId="77777777" w:rsidR="004E6FD7" w:rsidRPr="00C047FC" w:rsidRDefault="004E6FD7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LF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000000" w:fill="D8D8D8"/>
            <w:vAlign w:val="center"/>
          </w:tcPr>
          <w:p w14:paraId="299E4F23" w14:textId="77777777" w:rsidR="004E6FD7" w:rsidRPr="00C047FC" w:rsidRDefault="004E6FD7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</w:t>
            </w:r>
          </w:p>
        </w:tc>
        <w:tc>
          <w:tcPr>
            <w:tcW w:w="1536" w:type="pct"/>
            <w:tcBorders>
              <w:top w:val="nil"/>
              <w:bottom w:val="single" w:sz="4" w:space="0" w:color="auto"/>
            </w:tcBorders>
            <w:shd w:val="clear" w:color="000000" w:fill="D8D8D8"/>
            <w:vAlign w:val="center"/>
            <w:hideMark/>
          </w:tcPr>
          <w:p w14:paraId="394EB347" w14:textId="77777777" w:rsidR="004E6FD7" w:rsidRPr="00C047FC" w:rsidRDefault="004E6FD7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3E6A39" w:rsidRPr="00C047FC" w14:paraId="17DF3EFB" w14:textId="77777777" w:rsidTr="003E6A39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14CE30CB" w14:textId="77777777" w:rsidR="003E6A39" w:rsidRPr="00C047FC" w:rsidRDefault="00432242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System organ class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532A3AD" w14:textId="77777777" w:rsidR="003E6A39" w:rsidRPr="00C047FC" w:rsidRDefault="003E6A39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2BE0C13" w14:textId="77777777" w:rsidR="003E6A39" w:rsidRPr="00C047FC" w:rsidRDefault="003E6A39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FE201C8" w14:textId="77777777" w:rsidR="003E6A39" w:rsidRPr="00C047FC" w:rsidRDefault="003E6A39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C6B1711" w14:textId="77777777" w:rsidR="003E6A39" w:rsidRPr="00C047FC" w:rsidRDefault="003E6A39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360D6F8" w14:textId="77777777" w:rsidR="003E6A39" w:rsidRPr="00C047FC" w:rsidRDefault="003E6A39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23C23C" w14:textId="77777777" w:rsidR="003E6A39" w:rsidRPr="00C047FC" w:rsidRDefault="003E6A39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3E6A39" w:rsidRPr="00C047FC" w14:paraId="514C806C" w14:textId="77777777" w:rsidTr="00CF2D61">
        <w:trPr>
          <w:trHeight w:val="30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EC16" w14:textId="77777777" w:rsidR="003E6A39" w:rsidRPr="00C047FC" w:rsidRDefault="00432242" w:rsidP="00FB0E4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Cs/>
                <w:color w:val="FF0000"/>
                <w:lang w:eastAsia="en-GB"/>
              </w:rPr>
              <w:t>Preferred term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E14" w14:textId="77777777" w:rsidR="003E6A39" w:rsidRPr="00C047FC" w:rsidRDefault="003E6A39" w:rsidP="004E6FD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94B" w14:textId="77777777" w:rsidR="003E6A39" w:rsidRPr="00C047FC" w:rsidRDefault="003E6A39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EE4" w14:textId="77777777" w:rsidR="003E6A39" w:rsidRPr="00C047FC" w:rsidRDefault="003E6A39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61295A" w14:textId="77777777" w:rsidR="003E6A39" w:rsidRPr="00C047FC" w:rsidRDefault="003E6A39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C4A73" w14:textId="77777777" w:rsidR="003E6A39" w:rsidRPr="00C047FC" w:rsidRDefault="003E6A39" w:rsidP="004E6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CEDC" w14:textId="77777777" w:rsidR="003E6A39" w:rsidRPr="00C047FC" w:rsidRDefault="00432242" w:rsidP="004E6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47FC">
              <w:rPr>
                <w:rFonts w:ascii="Calibri" w:eastAsia="Times New Roman" w:hAnsi="Calibri" w:cs="Calibri"/>
                <w:bCs/>
                <w:color w:val="FF0000"/>
                <w:lang w:eastAsia="en-GB"/>
              </w:rPr>
              <w:t>Where further information is contained within section 4.8 this can be listed here for clarification</w:t>
            </w:r>
          </w:p>
        </w:tc>
      </w:tr>
    </w:tbl>
    <w:p w14:paraId="7EE79968" w14:textId="77777777" w:rsidR="00E25638" w:rsidRDefault="00E25638">
      <w:pPr>
        <w:rPr>
          <w:rFonts w:ascii="Arial" w:hAnsi="Arial" w:cs="Arial"/>
          <w:b/>
          <w:sz w:val="20"/>
          <w:szCs w:val="20"/>
        </w:rPr>
      </w:pPr>
    </w:p>
    <w:p w14:paraId="15F521C5" w14:textId="77777777" w:rsidR="002319A2" w:rsidRPr="00C047FC" w:rsidRDefault="002319A2" w:rsidP="0076327A">
      <w:pPr>
        <w:spacing w:line="240" w:lineRule="auto"/>
        <w:rPr>
          <w:rFonts w:ascii="Calibri" w:hAnsi="Calibri" w:cs="Calibri"/>
          <w:b/>
        </w:rPr>
      </w:pPr>
      <w:r w:rsidRPr="00C047FC">
        <w:rPr>
          <w:rFonts w:ascii="Calibri" w:hAnsi="Calibri" w:cs="Calibri"/>
          <w:b/>
        </w:rPr>
        <w:t xml:space="preserve">Section A: Listings of Adverse Reactions </w:t>
      </w:r>
      <w:r w:rsidRPr="00C047FC">
        <w:rPr>
          <w:rFonts w:ascii="Calibri" w:hAnsi="Calibri" w:cs="Calibri"/>
          <w:b/>
          <w:color w:val="FF0000"/>
        </w:rPr>
        <w:t>(For IBs only)</w:t>
      </w:r>
    </w:p>
    <w:p w14:paraId="781D471F" w14:textId="77777777" w:rsidR="002319A2" w:rsidRPr="00C047FC" w:rsidRDefault="002319A2" w:rsidP="0076327A">
      <w:pPr>
        <w:spacing w:line="240" w:lineRule="auto"/>
        <w:rPr>
          <w:rFonts w:ascii="Calibri" w:hAnsi="Calibri" w:cs="Calibri"/>
          <w:b/>
          <w:color w:val="FF0000"/>
        </w:rPr>
      </w:pPr>
      <w:r w:rsidRPr="00C047FC">
        <w:rPr>
          <w:rFonts w:ascii="Calibri" w:hAnsi="Calibri" w:cs="Calibri"/>
          <w:b/>
        </w:rPr>
        <w:t xml:space="preserve">Is the RSI section as presented within the IB suitable for use without modifications? Y/N </w:t>
      </w:r>
      <w:r w:rsidRPr="00C047FC">
        <w:rPr>
          <w:rFonts w:ascii="Calibri" w:hAnsi="Calibri" w:cs="Calibri"/>
          <w:b/>
          <w:color w:val="FF0000"/>
        </w:rPr>
        <w:t>delete as appropriate</w:t>
      </w:r>
    </w:p>
    <w:p w14:paraId="163E782F" w14:textId="77777777" w:rsidR="002319A2" w:rsidRPr="00C047FC" w:rsidRDefault="002319A2" w:rsidP="0076327A">
      <w:pPr>
        <w:spacing w:line="240" w:lineRule="auto"/>
        <w:rPr>
          <w:rFonts w:ascii="Calibri" w:hAnsi="Calibri" w:cs="Calibri"/>
          <w:b/>
        </w:rPr>
      </w:pPr>
      <w:r w:rsidRPr="00C047FC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7F493" wp14:editId="626E7BE0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6267450" cy="140462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5074" w14:textId="77777777" w:rsidR="002319A2" w:rsidRPr="00C047FC" w:rsidRDefault="002319A2">
                            <w:pPr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C047FC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State what reactions, if any, are not considered expected within the participant population being studied. </w:t>
                            </w:r>
                            <w:r w:rsidR="004A6D87" w:rsidRPr="00C047FC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Where extensive modifications are required then listings from the IB may be inserted into this document with the removal of certain adverse reactions 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F7F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4pt;width:49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">
                <v:textbox style="mso-fit-shape-to-text:t">
                  <w:txbxContent>
                    <w:p w14:paraId="1BC45074" w14:textId="77777777" w:rsidR="002319A2" w:rsidRPr="00C047FC" w:rsidRDefault="002319A2">
                      <w:pPr>
                        <w:rPr>
                          <w:rFonts w:ascii="Calibri" w:hAnsi="Calibri" w:cs="Calibri"/>
                          <w:color w:val="FF0000"/>
                        </w:rPr>
                      </w:pPr>
                      <w:r w:rsidRPr="00C047FC">
                        <w:rPr>
                          <w:rFonts w:ascii="Calibri" w:hAnsi="Calibri" w:cs="Calibri"/>
                          <w:color w:val="FF0000"/>
                        </w:rPr>
                        <w:t xml:space="preserve">State what reactions, if any, are not considered expected within the participant population being studied. </w:t>
                      </w:r>
                      <w:r w:rsidR="004A6D87" w:rsidRPr="00C047FC">
                        <w:rPr>
                          <w:rFonts w:ascii="Calibri" w:hAnsi="Calibri" w:cs="Calibri"/>
                          <w:color w:val="FF0000"/>
                        </w:rPr>
                        <w:t xml:space="preserve">Where extensive modifications are required then listings from the IB may be inserted into this document with the removal of certain adverse reactions etc.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47FC">
        <w:rPr>
          <w:rFonts w:ascii="Calibri" w:hAnsi="Calibri" w:cs="Calibri"/>
          <w:b/>
        </w:rPr>
        <w:t xml:space="preserve">If N, what modifications to the IB are required? </w:t>
      </w:r>
    </w:p>
    <w:p w14:paraId="759569BB" w14:textId="77777777" w:rsidR="002319A2" w:rsidRDefault="002319A2" w:rsidP="0076327A">
      <w:pPr>
        <w:spacing w:line="240" w:lineRule="auto"/>
        <w:rPr>
          <w:rFonts w:ascii="Arial" w:hAnsi="Arial" w:cs="Arial"/>
          <w:sz w:val="20"/>
          <w:szCs w:val="20"/>
        </w:rPr>
      </w:pPr>
    </w:p>
    <w:p w14:paraId="00060FCB" w14:textId="77777777" w:rsidR="002319A2" w:rsidRDefault="002319A2" w:rsidP="0076327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3987EBF" w14:textId="77777777" w:rsidR="00B3070C" w:rsidRPr="00C047FC" w:rsidRDefault="00BB34DB" w:rsidP="0076327A">
      <w:pPr>
        <w:spacing w:line="240" w:lineRule="auto"/>
        <w:rPr>
          <w:rFonts w:cstheme="minorHAnsi"/>
          <w:b/>
        </w:rPr>
      </w:pPr>
      <w:r w:rsidRPr="00C047FC">
        <w:rPr>
          <w:rFonts w:cstheme="minorHAnsi"/>
          <w:b/>
        </w:rPr>
        <w:t>Section B</w:t>
      </w:r>
      <w:r w:rsidR="00B3070C" w:rsidRPr="00C047FC">
        <w:rPr>
          <w:rFonts w:cstheme="minorHAnsi"/>
          <w:b/>
        </w:rPr>
        <w:t>: Further information, comments, and justifications relating to the RSI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0D3E" w14:paraId="5A876AED" w14:textId="77777777" w:rsidTr="009C0D3E">
        <w:tc>
          <w:tcPr>
            <w:tcW w:w="15614" w:type="dxa"/>
          </w:tcPr>
          <w:p w14:paraId="0C430802" w14:textId="77777777" w:rsidR="009C0D3E" w:rsidRDefault="009C0D3E" w:rsidP="007632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6F2B7" w14:textId="77777777" w:rsidR="009C0D3E" w:rsidRPr="00C047FC" w:rsidRDefault="009C0D3E" w:rsidP="0076327A">
            <w:pPr>
              <w:rPr>
                <w:rFonts w:cstheme="minorHAnsi"/>
                <w:color w:val="FF0000"/>
              </w:rPr>
            </w:pPr>
            <w:r w:rsidRPr="00C047FC">
              <w:rPr>
                <w:rFonts w:cstheme="minorHAnsi"/>
                <w:color w:val="FF0000"/>
              </w:rPr>
              <w:t>The benefit/risk ratio for this trial is not sufficient to consider</w:t>
            </w:r>
            <w:r w:rsidR="00AD28B6" w:rsidRPr="00C047FC">
              <w:rPr>
                <w:rFonts w:cstheme="minorHAnsi"/>
                <w:color w:val="FF0000"/>
              </w:rPr>
              <w:t xml:space="preserve"> life threatening or</w:t>
            </w:r>
            <w:r w:rsidRPr="00C047FC">
              <w:rPr>
                <w:rFonts w:cstheme="minorHAnsi"/>
                <w:color w:val="FF0000"/>
              </w:rPr>
              <w:t xml:space="preserve"> fatal serious adverse reactions expected.</w:t>
            </w:r>
          </w:p>
          <w:p w14:paraId="73EA0A6C" w14:textId="77777777" w:rsidR="00432242" w:rsidRPr="00C047FC" w:rsidRDefault="00432242" w:rsidP="0076327A">
            <w:pPr>
              <w:rPr>
                <w:rFonts w:cstheme="minorHAnsi"/>
                <w:color w:val="FF0000"/>
              </w:rPr>
            </w:pPr>
          </w:p>
          <w:p w14:paraId="749EC4DE" w14:textId="77777777" w:rsidR="00432242" w:rsidRPr="00C047FC" w:rsidRDefault="00432242" w:rsidP="0076327A">
            <w:pPr>
              <w:rPr>
                <w:rFonts w:cstheme="minorHAnsi"/>
                <w:color w:val="FF0000"/>
              </w:rPr>
            </w:pPr>
            <w:r w:rsidRPr="00C047FC">
              <w:rPr>
                <w:rFonts w:cstheme="minorHAnsi"/>
                <w:color w:val="FF0000"/>
              </w:rPr>
              <w:t>Or provide detailed information regarding why life threatening or fatal events may be included. Justification for the inclusion or exclusion of other expected events should also be included within this section,</w:t>
            </w:r>
          </w:p>
          <w:p w14:paraId="09F36C1E" w14:textId="77777777" w:rsidR="009C0D3E" w:rsidRDefault="009C0D3E" w:rsidP="007632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1DF080" w14:textId="77777777" w:rsidR="009C0D3E" w:rsidRDefault="009C0D3E">
      <w:pPr>
        <w:rPr>
          <w:rFonts w:ascii="Arial" w:hAnsi="Arial" w:cs="Arial"/>
          <w:sz w:val="20"/>
          <w:szCs w:val="20"/>
        </w:rPr>
      </w:pPr>
    </w:p>
    <w:p w14:paraId="4A76FA26" w14:textId="77777777" w:rsidR="00B3070C" w:rsidRPr="003A179D" w:rsidRDefault="00B3070C">
      <w:pPr>
        <w:rPr>
          <w:rFonts w:cstheme="minorHAnsi"/>
          <w:b/>
        </w:rPr>
      </w:pPr>
      <w:r w:rsidRPr="003A179D">
        <w:rPr>
          <w:rFonts w:cstheme="minorHAnsi"/>
          <w:b/>
        </w:rPr>
        <w:t>Section C: Approval of the RSI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6"/>
        <w:gridCol w:w="2117"/>
        <w:gridCol w:w="3446"/>
        <w:gridCol w:w="2287"/>
      </w:tblGrid>
      <w:tr w:rsidR="004664E8" w:rsidRPr="003A179D" w14:paraId="4106E419" w14:textId="77777777" w:rsidTr="00FB0E42">
        <w:tc>
          <w:tcPr>
            <w:tcW w:w="2660" w:type="dxa"/>
            <w:shd w:val="clear" w:color="auto" w:fill="BFBFBF" w:themeFill="background1" w:themeFillShade="BF"/>
          </w:tcPr>
          <w:p w14:paraId="51675819" w14:textId="77777777" w:rsidR="004664E8" w:rsidRPr="003A179D" w:rsidRDefault="004664E8">
            <w:pPr>
              <w:rPr>
                <w:rFonts w:cstheme="minorHAnsi"/>
                <w:b/>
              </w:rPr>
            </w:pPr>
            <w:r w:rsidRPr="003A179D">
              <w:rPr>
                <w:rFonts w:cstheme="minorHAnsi"/>
                <w:b/>
              </w:rPr>
              <w:t>Sign off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4AB9E30" w14:textId="77777777" w:rsidR="004664E8" w:rsidRPr="003A179D" w:rsidRDefault="005670BA">
            <w:pPr>
              <w:rPr>
                <w:rFonts w:cstheme="minorHAnsi"/>
                <w:b/>
              </w:rPr>
            </w:pPr>
            <w:r w:rsidRPr="003A179D">
              <w:rPr>
                <w:rFonts w:cstheme="minorHAnsi"/>
                <w:b/>
              </w:rPr>
              <w:t>Role</w:t>
            </w:r>
          </w:p>
        </w:tc>
        <w:tc>
          <w:tcPr>
            <w:tcW w:w="3542" w:type="dxa"/>
            <w:shd w:val="clear" w:color="auto" w:fill="BFBFBF" w:themeFill="background1" w:themeFillShade="BF"/>
          </w:tcPr>
          <w:p w14:paraId="46E04884" w14:textId="77777777" w:rsidR="004664E8" w:rsidRPr="003A179D" w:rsidRDefault="004664E8">
            <w:pPr>
              <w:rPr>
                <w:rFonts w:cstheme="minorHAnsi"/>
                <w:b/>
              </w:rPr>
            </w:pPr>
            <w:r w:rsidRPr="003A179D">
              <w:rPr>
                <w:rFonts w:cstheme="minorHAnsi"/>
                <w:b/>
              </w:rPr>
              <w:t>Signature</w:t>
            </w:r>
          </w:p>
        </w:tc>
        <w:tc>
          <w:tcPr>
            <w:tcW w:w="2354" w:type="dxa"/>
            <w:shd w:val="clear" w:color="auto" w:fill="BFBFBF" w:themeFill="background1" w:themeFillShade="BF"/>
          </w:tcPr>
          <w:p w14:paraId="254AC8D2" w14:textId="77777777" w:rsidR="004664E8" w:rsidRPr="003A179D" w:rsidRDefault="004664E8">
            <w:pPr>
              <w:rPr>
                <w:rFonts w:cstheme="minorHAnsi"/>
                <w:b/>
              </w:rPr>
            </w:pPr>
            <w:r w:rsidRPr="003A179D">
              <w:rPr>
                <w:rFonts w:cstheme="minorHAnsi"/>
                <w:b/>
              </w:rPr>
              <w:t>Date</w:t>
            </w:r>
          </w:p>
        </w:tc>
      </w:tr>
      <w:tr w:rsidR="004664E8" w:rsidRPr="003A179D" w14:paraId="6E7EEB22" w14:textId="77777777" w:rsidTr="00FB0E42">
        <w:tc>
          <w:tcPr>
            <w:tcW w:w="2660" w:type="dxa"/>
          </w:tcPr>
          <w:p w14:paraId="40697BAF" w14:textId="77777777" w:rsidR="004664E8" w:rsidRPr="003A179D" w:rsidRDefault="005670BA">
            <w:pPr>
              <w:rPr>
                <w:rFonts w:cstheme="minorHAnsi"/>
              </w:rPr>
            </w:pPr>
            <w:r w:rsidRPr="003A179D">
              <w:rPr>
                <w:rFonts w:cstheme="minorHAnsi"/>
              </w:rPr>
              <w:t>Preparation</w:t>
            </w:r>
            <w:r w:rsidR="004664E8" w:rsidRPr="003A179D">
              <w:rPr>
                <w:rFonts w:cstheme="minorHAnsi"/>
              </w:rPr>
              <w:t xml:space="preserve"> of document</w:t>
            </w:r>
          </w:p>
        </w:tc>
        <w:tc>
          <w:tcPr>
            <w:tcW w:w="2126" w:type="dxa"/>
          </w:tcPr>
          <w:p w14:paraId="29BAB1EE" w14:textId="77777777" w:rsidR="004664E8" w:rsidRPr="003A179D" w:rsidRDefault="004664E8">
            <w:pPr>
              <w:rPr>
                <w:rFonts w:cstheme="minorHAnsi"/>
              </w:rPr>
            </w:pPr>
            <w:r w:rsidRPr="003A179D">
              <w:rPr>
                <w:rFonts w:cstheme="minorHAnsi"/>
              </w:rPr>
              <w:t>Pharmacovigilance manager</w:t>
            </w:r>
          </w:p>
        </w:tc>
        <w:tc>
          <w:tcPr>
            <w:tcW w:w="3542" w:type="dxa"/>
          </w:tcPr>
          <w:p w14:paraId="7A48CAA1" w14:textId="77777777" w:rsidR="004664E8" w:rsidRPr="003A179D" w:rsidRDefault="004664E8">
            <w:pPr>
              <w:rPr>
                <w:rFonts w:cstheme="minorHAnsi"/>
              </w:rPr>
            </w:pPr>
          </w:p>
        </w:tc>
        <w:tc>
          <w:tcPr>
            <w:tcW w:w="2354" w:type="dxa"/>
          </w:tcPr>
          <w:p w14:paraId="55927427" w14:textId="77777777" w:rsidR="004664E8" w:rsidRPr="003A179D" w:rsidRDefault="004664E8">
            <w:pPr>
              <w:rPr>
                <w:rFonts w:cstheme="minorHAnsi"/>
              </w:rPr>
            </w:pPr>
          </w:p>
        </w:tc>
      </w:tr>
      <w:tr w:rsidR="004664E8" w:rsidRPr="003A179D" w14:paraId="05F3407A" w14:textId="77777777" w:rsidTr="00FB0E42">
        <w:tc>
          <w:tcPr>
            <w:tcW w:w="2660" w:type="dxa"/>
          </w:tcPr>
          <w:p w14:paraId="160F77EE" w14:textId="77777777" w:rsidR="004664E8" w:rsidRPr="003A179D" w:rsidRDefault="004664E8">
            <w:pPr>
              <w:rPr>
                <w:rFonts w:cstheme="minorHAnsi"/>
              </w:rPr>
            </w:pPr>
            <w:r w:rsidRPr="003A179D">
              <w:rPr>
                <w:rFonts w:cstheme="minorHAnsi"/>
              </w:rPr>
              <w:t>Checking of document</w:t>
            </w:r>
          </w:p>
        </w:tc>
        <w:tc>
          <w:tcPr>
            <w:tcW w:w="2126" w:type="dxa"/>
          </w:tcPr>
          <w:p w14:paraId="6A78B39C" w14:textId="1B254E21" w:rsidR="004664E8" w:rsidRPr="003A179D" w:rsidRDefault="002931FF">
            <w:pPr>
              <w:rPr>
                <w:rFonts w:cstheme="minorHAnsi"/>
              </w:rPr>
            </w:pPr>
            <w:r w:rsidRPr="003A179D">
              <w:rPr>
                <w:rFonts w:cstheme="minorHAnsi"/>
              </w:rPr>
              <w:t>Sponsor c</w:t>
            </w:r>
            <w:r w:rsidR="005670BA" w:rsidRPr="003A179D">
              <w:rPr>
                <w:rFonts w:cstheme="minorHAnsi"/>
              </w:rPr>
              <w:t>linical</w:t>
            </w:r>
            <w:r w:rsidR="004664E8" w:rsidRPr="003A179D">
              <w:rPr>
                <w:rFonts w:cstheme="minorHAnsi"/>
              </w:rPr>
              <w:t xml:space="preserve"> trials pharmacist</w:t>
            </w:r>
          </w:p>
        </w:tc>
        <w:tc>
          <w:tcPr>
            <w:tcW w:w="3542" w:type="dxa"/>
          </w:tcPr>
          <w:p w14:paraId="338F52D2" w14:textId="77777777" w:rsidR="004664E8" w:rsidRPr="003A179D" w:rsidRDefault="004664E8">
            <w:pPr>
              <w:rPr>
                <w:rFonts w:cstheme="minorHAnsi"/>
              </w:rPr>
            </w:pPr>
          </w:p>
        </w:tc>
        <w:tc>
          <w:tcPr>
            <w:tcW w:w="2354" w:type="dxa"/>
          </w:tcPr>
          <w:p w14:paraId="1C691264" w14:textId="77777777" w:rsidR="004664E8" w:rsidRPr="003A179D" w:rsidRDefault="004664E8">
            <w:pPr>
              <w:rPr>
                <w:rFonts w:cstheme="minorHAnsi"/>
              </w:rPr>
            </w:pPr>
          </w:p>
        </w:tc>
      </w:tr>
      <w:tr w:rsidR="004664E8" w:rsidRPr="003A179D" w14:paraId="418D0364" w14:textId="77777777" w:rsidTr="00FB0E42">
        <w:tc>
          <w:tcPr>
            <w:tcW w:w="2660" w:type="dxa"/>
          </w:tcPr>
          <w:p w14:paraId="5FFD39FF" w14:textId="77777777" w:rsidR="004664E8" w:rsidRPr="003A179D" w:rsidRDefault="004664E8" w:rsidP="004664E8">
            <w:pPr>
              <w:rPr>
                <w:rFonts w:cstheme="minorHAnsi"/>
              </w:rPr>
            </w:pPr>
            <w:r w:rsidRPr="003A179D">
              <w:rPr>
                <w:rFonts w:cstheme="minorHAnsi"/>
              </w:rPr>
              <w:t>As the chief investigator I confirm that I have clinically reviewed this document and confirm that the information is correct</w:t>
            </w:r>
          </w:p>
        </w:tc>
        <w:tc>
          <w:tcPr>
            <w:tcW w:w="2126" w:type="dxa"/>
          </w:tcPr>
          <w:p w14:paraId="10A6D5E3" w14:textId="77777777" w:rsidR="004664E8" w:rsidRPr="003A179D" w:rsidRDefault="004664E8">
            <w:pPr>
              <w:rPr>
                <w:rFonts w:cstheme="minorHAnsi"/>
              </w:rPr>
            </w:pPr>
            <w:r w:rsidRPr="003A179D">
              <w:rPr>
                <w:rFonts w:cstheme="minorHAnsi"/>
              </w:rPr>
              <w:t>Chief investigator</w:t>
            </w:r>
          </w:p>
        </w:tc>
        <w:tc>
          <w:tcPr>
            <w:tcW w:w="3542" w:type="dxa"/>
          </w:tcPr>
          <w:p w14:paraId="6B682EAB" w14:textId="77777777" w:rsidR="004664E8" w:rsidRPr="003A179D" w:rsidRDefault="004664E8">
            <w:pPr>
              <w:rPr>
                <w:rFonts w:cstheme="minorHAnsi"/>
              </w:rPr>
            </w:pPr>
          </w:p>
        </w:tc>
        <w:tc>
          <w:tcPr>
            <w:tcW w:w="2354" w:type="dxa"/>
          </w:tcPr>
          <w:p w14:paraId="16D341B9" w14:textId="77777777" w:rsidR="004664E8" w:rsidRPr="003A179D" w:rsidRDefault="004664E8">
            <w:pPr>
              <w:rPr>
                <w:rFonts w:cstheme="minorHAnsi"/>
              </w:rPr>
            </w:pPr>
          </w:p>
        </w:tc>
      </w:tr>
    </w:tbl>
    <w:p w14:paraId="59C7DB1C" w14:textId="57E85603" w:rsidR="003A179D" w:rsidRDefault="003A179D">
      <w:pPr>
        <w:rPr>
          <w:rFonts w:ascii="Arial" w:hAnsi="Arial" w:cs="Arial"/>
          <w:sz w:val="20"/>
          <w:szCs w:val="20"/>
        </w:rPr>
      </w:pPr>
    </w:p>
    <w:p w14:paraId="4BAA1B5B" w14:textId="20FCC9B4" w:rsidR="00ED3067" w:rsidRDefault="003A17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C047FC" w14:paraId="125B1022" w14:textId="77777777" w:rsidTr="0071512E">
        <w:tc>
          <w:tcPr>
            <w:tcW w:w="9016" w:type="dxa"/>
            <w:tcMar>
              <w:top w:w="57" w:type="dxa"/>
              <w:bottom w:w="57" w:type="dxa"/>
            </w:tcMar>
          </w:tcPr>
          <w:p w14:paraId="49BEA780" w14:textId="77777777" w:rsidR="00C047FC" w:rsidRPr="00752833" w:rsidRDefault="00C047FC" w:rsidP="0071512E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322CC89F" w14:textId="77777777" w:rsidR="00C047FC" w:rsidRPr="00752833" w:rsidRDefault="00C047FC" w:rsidP="0071512E">
            <w:pPr>
              <w:rPr>
                <w:color w:val="808080" w:themeColor="background1" w:themeShade="80"/>
              </w:rPr>
            </w:pPr>
          </w:p>
          <w:p w14:paraId="7B193D8C" w14:textId="77777777" w:rsidR="00C047FC" w:rsidRPr="00D65557" w:rsidRDefault="00C047FC" w:rsidP="0071512E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37F37054" w14:textId="77777777" w:rsidR="00C047FC" w:rsidRPr="006A1A2C" w:rsidRDefault="00C047FC" w:rsidP="003A179D">
      <w:pPr>
        <w:rPr>
          <w:rFonts w:ascii="Arial" w:hAnsi="Arial" w:cs="Arial"/>
          <w:sz w:val="20"/>
          <w:szCs w:val="20"/>
        </w:rPr>
      </w:pPr>
    </w:p>
    <w:sectPr w:rsidR="00C047FC" w:rsidRPr="006A1A2C" w:rsidSect="00C047FC">
      <w:headerReference w:type="default" r:id="rId7"/>
      <w:foot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D5C23A" w16cex:dateUtc="2025-10-24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A8DD64" w16cid:durableId="53D5C2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B01E3" w14:textId="77777777" w:rsidR="00072070" w:rsidRDefault="00072070" w:rsidP="000A4A22">
      <w:pPr>
        <w:spacing w:after="0" w:line="240" w:lineRule="auto"/>
      </w:pPr>
      <w:r>
        <w:separator/>
      </w:r>
    </w:p>
  </w:endnote>
  <w:endnote w:type="continuationSeparator" w:id="0">
    <w:p w14:paraId="0BCB830F" w14:textId="77777777" w:rsidR="00072070" w:rsidRDefault="00072070" w:rsidP="000A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FCCD3" w14:textId="1B152735" w:rsidR="00C047FC" w:rsidRDefault="00C047FC" w:rsidP="00C047FC">
    <w:pPr>
      <w:pStyle w:val="Footer"/>
    </w:pPr>
    <w:r>
      <w:t>Form 55.005B Version 2.0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4C0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4C0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7B178EC" w14:textId="77777777" w:rsidR="00C047FC" w:rsidRDefault="00C047FC" w:rsidP="00C047FC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  <w:p w14:paraId="3209F68C" w14:textId="02235566" w:rsidR="000078A0" w:rsidRDefault="000078A0" w:rsidP="00E85B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A3C38" w14:textId="77777777" w:rsidR="00072070" w:rsidRDefault="00072070" w:rsidP="000A4A22">
      <w:pPr>
        <w:spacing w:after="0" w:line="240" w:lineRule="auto"/>
      </w:pPr>
      <w:r>
        <w:separator/>
      </w:r>
    </w:p>
  </w:footnote>
  <w:footnote w:type="continuationSeparator" w:id="0">
    <w:p w14:paraId="4E61DF44" w14:textId="77777777" w:rsidR="00072070" w:rsidRDefault="00072070" w:rsidP="000A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94B7A" w14:textId="49D8201D" w:rsidR="00C047FC" w:rsidRDefault="00C047FC">
    <w:pPr>
      <w:pStyle w:val="Header"/>
    </w:pPr>
  </w:p>
  <w:p w14:paraId="6857F351" w14:textId="77777777" w:rsidR="00C047FC" w:rsidRDefault="00C047FC" w:rsidP="00C047FC">
    <w:pPr>
      <w:pStyle w:val="Header"/>
    </w:pPr>
    <w:r>
      <w:t>Glasgow Clinical Trials Unit Form</w:t>
    </w:r>
  </w:p>
  <w:p w14:paraId="3F45F178" w14:textId="77777777" w:rsidR="00670453" w:rsidRDefault="00670453" w:rsidP="00C04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B6"/>
    <w:rsid w:val="000078A0"/>
    <w:rsid w:val="000461B0"/>
    <w:rsid w:val="00072070"/>
    <w:rsid w:val="00075022"/>
    <w:rsid w:val="00090542"/>
    <w:rsid w:val="00090FBD"/>
    <w:rsid w:val="000A4A22"/>
    <w:rsid w:val="000B5967"/>
    <w:rsid w:val="000B5B2D"/>
    <w:rsid w:val="000B6D3A"/>
    <w:rsid w:val="000D4B85"/>
    <w:rsid w:val="000E04BB"/>
    <w:rsid w:val="00113745"/>
    <w:rsid w:val="00121BA2"/>
    <w:rsid w:val="00133711"/>
    <w:rsid w:val="00151839"/>
    <w:rsid w:val="0015648A"/>
    <w:rsid w:val="00173BA1"/>
    <w:rsid w:val="001A3AF3"/>
    <w:rsid w:val="001C7357"/>
    <w:rsid w:val="0021783C"/>
    <w:rsid w:val="002319A2"/>
    <w:rsid w:val="002737C0"/>
    <w:rsid w:val="002931FF"/>
    <w:rsid w:val="002E2EAC"/>
    <w:rsid w:val="002F0672"/>
    <w:rsid w:val="00301302"/>
    <w:rsid w:val="00342FE5"/>
    <w:rsid w:val="00345278"/>
    <w:rsid w:val="00367C10"/>
    <w:rsid w:val="003938B6"/>
    <w:rsid w:val="003A179D"/>
    <w:rsid w:val="003A5C9B"/>
    <w:rsid w:val="003B7FD2"/>
    <w:rsid w:val="003C05D9"/>
    <w:rsid w:val="003C36CA"/>
    <w:rsid w:val="003E6A39"/>
    <w:rsid w:val="003F4F11"/>
    <w:rsid w:val="003F6C7C"/>
    <w:rsid w:val="003F7766"/>
    <w:rsid w:val="00432242"/>
    <w:rsid w:val="0044080D"/>
    <w:rsid w:val="004664E8"/>
    <w:rsid w:val="0048569E"/>
    <w:rsid w:val="004A6D87"/>
    <w:rsid w:val="004B35A9"/>
    <w:rsid w:val="004C62CE"/>
    <w:rsid w:val="004E6FD7"/>
    <w:rsid w:val="0051432F"/>
    <w:rsid w:val="00514BDF"/>
    <w:rsid w:val="005206B4"/>
    <w:rsid w:val="00522330"/>
    <w:rsid w:val="00535A7E"/>
    <w:rsid w:val="005435D2"/>
    <w:rsid w:val="00556338"/>
    <w:rsid w:val="00560C76"/>
    <w:rsid w:val="00560FA2"/>
    <w:rsid w:val="005668CD"/>
    <w:rsid w:val="005670BA"/>
    <w:rsid w:val="005951CC"/>
    <w:rsid w:val="005A1B8E"/>
    <w:rsid w:val="005C706F"/>
    <w:rsid w:val="005E19C7"/>
    <w:rsid w:val="005E5878"/>
    <w:rsid w:val="00604C08"/>
    <w:rsid w:val="00616176"/>
    <w:rsid w:val="00633526"/>
    <w:rsid w:val="00642606"/>
    <w:rsid w:val="0064302F"/>
    <w:rsid w:val="00654575"/>
    <w:rsid w:val="00663579"/>
    <w:rsid w:val="00670453"/>
    <w:rsid w:val="006A1A2C"/>
    <w:rsid w:val="006B62B6"/>
    <w:rsid w:val="006C5A4C"/>
    <w:rsid w:val="0071163C"/>
    <w:rsid w:val="00711692"/>
    <w:rsid w:val="00725640"/>
    <w:rsid w:val="00731F58"/>
    <w:rsid w:val="00757D3C"/>
    <w:rsid w:val="007607DD"/>
    <w:rsid w:val="0076327A"/>
    <w:rsid w:val="007A0B2C"/>
    <w:rsid w:val="007B4030"/>
    <w:rsid w:val="007D3660"/>
    <w:rsid w:val="008216D5"/>
    <w:rsid w:val="00882226"/>
    <w:rsid w:val="008B3243"/>
    <w:rsid w:val="008B4BD7"/>
    <w:rsid w:val="008C79CF"/>
    <w:rsid w:val="008F3953"/>
    <w:rsid w:val="00937682"/>
    <w:rsid w:val="00937BE7"/>
    <w:rsid w:val="0094139C"/>
    <w:rsid w:val="009A53BC"/>
    <w:rsid w:val="009C0D3E"/>
    <w:rsid w:val="009D1DC3"/>
    <w:rsid w:val="009E7874"/>
    <w:rsid w:val="009F5BAA"/>
    <w:rsid w:val="00A01EE2"/>
    <w:rsid w:val="00A21FA5"/>
    <w:rsid w:val="00A42B8B"/>
    <w:rsid w:val="00A53F21"/>
    <w:rsid w:val="00A57D06"/>
    <w:rsid w:val="00A841BB"/>
    <w:rsid w:val="00A93F5A"/>
    <w:rsid w:val="00AA2AE7"/>
    <w:rsid w:val="00AC24E5"/>
    <w:rsid w:val="00AD28B6"/>
    <w:rsid w:val="00AE4499"/>
    <w:rsid w:val="00AE4BAD"/>
    <w:rsid w:val="00B222D8"/>
    <w:rsid w:val="00B26DA8"/>
    <w:rsid w:val="00B3070C"/>
    <w:rsid w:val="00BB34DB"/>
    <w:rsid w:val="00BC0D23"/>
    <w:rsid w:val="00BD6B91"/>
    <w:rsid w:val="00C047FC"/>
    <w:rsid w:val="00C25EB6"/>
    <w:rsid w:val="00C26357"/>
    <w:rsid w:val="00C26492"/>
    <w:rsid w:val="00C44FE0"/>
    <w:rsid w:val="00C540CB"/>
    <w:rsid w:val="00CD2321"/>
    <w:rsid w:val="00CE042B"/>
    <w:rsid w:val="00CF2D61"/>
    <w:rsid w:val="00D038CF"/>
    <w:rsid w:val="00D0614C"/>
    <w:rsid w:val="00D26FBB"/>
    <w:rsid w:val="00D52B05"/>
    <w:rsid w:val="00D56ED6"/>
    <w:rsid w:val="00D639C4"/>
    <w:rsid w:val="00D915BC"/>
    <w:rsid w:val="00DB2341"/>
    <w:rsid w:val="00DB6C37"/>
    <w:rsid w:val="00DE4841"/>
    <w:rsid w:val="00E25638"/>
    <w:rsid w:val="00E26AD1"/>
    <w:rsid w:val="00E3486F"/>
    <w:rsid w:val="00E410B0"/>
    <w:rsid w:val="00E50060"/>
    <w:rsid w:val="00E85BE4"/>
    <w:rsid w:val="00E95F72"/>
    <w:rsid w:val="00EB62F0"/>
    <w:rsid w:val="00EB6324"/>
    <w:rsid w:val="00EC0F1F"/>
    <w:rsid w:val="00ED3067"/>
    <w:rsid w:val="00F255DD"/>
    <w:rsid w:val="00F40D31"/>
    <w:rsid w:val="00F642FD"/>
    <w:rsid w:val="00F73E54"/>
    <w:rsid w:val="00F73E71"/>
    <w:rsid w:val="00FA0EF3"/>
    <w:rsid w:val="00FA72C8"/>
    <w:rsid w:val="00FB0E42"/>
    <w:rsid w:val="00FB67E3"/>
    <w:rsid w:val="00FE3747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2EC7E78"/>
  <w15:docId w15:val="{DE703889-AF0F-4A44-AD9D-B37C17F0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22"/>
  </w:style>
  <w:style w:type="paragraph" w:styleId="Footer">
    <w:name w:val="footer"/>
    <w:basedOn w:val="Normal"/>
    <w:link w:val="FooterChar"/>
    <w:uiPriority w:val="99"/>
    <w:unhideWhenUsed/>
    <w:rsid w:val="000A4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22"/>
  </w:style>
  <w:style w:type="table" w:styleId="TableGrid">
    <w:name w:val="Table Grid"/>
    <w:basedOn w:val="TableNormal"/>
    <w:uiPriority w:val="39"/>
    <w:rsid w:val="00EB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3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4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95F72"/>
    <w:rPr>
      <w:i/>
      <w:iCs/>
    </w:rPr>
  </w:style>
  <w:style w:type="paragraph" w:styleId="BodyText2">
    <w:name w:val="Body Text 2"/>
    <w:basedOn w:val="Normal"/>
    <w:link w:val="BodyText2Char"/>
    <w:rsid w:val="0067045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670453"/>
    <w:rPr>
      <w:rFonts w:ascii="Arial" w:eastAsia="Times New Roman" w:hAnsi="Arial" w:cs="Arial"/>
      <w:b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93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7D8D-617B-42F9-8F9D-1FF5E731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Jones</dc:creator>
  <cp:lastModifiedBy>Cheryl Johnston (NHS Greater Glasgow and Clyde)</cp:lastModifiedBy>
  <cp:revision>2</cp:revision>
  <cp:lastPrinted>2019-07-11T12:22:00Z</cp:lastPrinted>
  <dcterms:created xsi:type="dcterms:W3CDTF">2026-03-03T11:22:00Z</dcterms:created>
  <dcterms:modified xsi:type="dcterms:W3CDTF">2026-03-03T11:22:00Z</dcterms:modified>
</cp:coreProperties>
</file>