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0"/>
      </w:tblGrid>
      <w:tr w:rsidR="0025028A" w:rsidRPr="00B67CCC" w:rsidTr="00092FCE">
        <w:trPr>
          <w:trHeight w:val="283"/>
          <w:jc w:val="center"/>
        </w:trPr>
        <w:tc>
          <w:tcPr>
            <w:tcW w:w="10440" w:type="dxa"/>
          </w:tcPr>
          <w:p w:rsidR="00A12430" w:rsidRDefault="00A12430" w:rsidP="007A3797">
            <w:pPr>
              <w:tabs>
                <w:tab w:val="left" w:pos="4513"/>
              </w:tabs>
              <w:spacing w:after="0" w:line="240" w:lineRule="auto"/>
              <w:jc w:val="center"/>
              <w:rPr>
                <w:b/>
                <w:sz w:val="40"/>
                <w:szCs w:val="40"/>
              </w:rPr>
            </w:pPr>
          </w:p>
          <w:p w:rsidR="007A3797" w:rsidRDefault="0046535F" w:rsidP="007A3797">
            <w:pPr>
              <w:tabs>
                <w:tab w:val="left" w:pos="4513"/>
              </w:tabs>
              <w:spacing w:after="0" w:line="240" w:lineRule="auto"/>
              <w:jc w:val="center"/>
              <w:rPr>
                <w:b/>
                <w:caps/>
                <w:sz w:val="24"/>
                <w:szCs w:val="24"/>
              </w:rPr>
            </w:pPr>
            <w:r>
              <w:rPr>
                <w:b/>
                <w:caps/>
                <w:sz w:val="40"/>
                <w:szCs w:val="40"/>
              </w:rPr>
              <w:t>COMPLAINTS POLICY</w:t>
            </w:r>
          </w:p>
          <w:p w:rsidR="00B67CCC" w:rsidRPr="00B67CCC" w:rsidRDefault="00B67CCC" w:rsidP="007A3797">
            <w:pPr>
              <w:tabs>
                <w:tab w:val="left" w:pos="4513"/>
              </w:tabs>
              <w:spacing w:after="0" w:line="240" w:lineRule="auto"/>
              <w:jc w:val="center"/>
              <w:rPr>
                <w:b/>
                <w:sz w:val="24"/>
                <w:szCs w:val="24"/>
              </w:rPr>
            </w:pPr>
          </w:p>
        </w:tc>
      </w:tr>
      <w:tr w:rsidR="007A3797" w:rsidRPr="00197CCE" w:rsidTr="00092FCE">
        <w:tblPrEx>
          <w:shd w:val="clear" w:color="auto" w:fill="D9D9D9"/>
        </w:tblPrEx>
        <w:trPr>
          <w:jc w:val="center"/>
        </w:trPr>
        <w:tc>
          <w:tcPr>
            <w:tcW w:w="10440" w:type="dxa"/>
            <w:tcBorders>
              <w:bottom w:val="single" w:sz="4" w:space="0" w:color="auto"/>
            </w:tcBorders>
            <w:shd w:val="clear" w:color="auto" w:fill="D9D9D9"/>
          </w:tcPr>
          <w:p w:rsidR="007A3797" w:rsidRPr="00A12430" w:rsidRDefault="007A3797" w:rsidP="00591C76">
            <w:pPr>
              <w:spacing w:after="0" w:line="240" w:lineRule="auto"/>
              <w:rPr>
                <w:rFonts w:ascii="Arial" w:hAnsi="Arial" w:cs="Arial"/>
                <w:b/>
                <w:bCs/>
              </w:rPr>
            </w:pPr>
            <w:r w:rsidRPr="000865C9">
              <w:rPr>
                <w:b/>
                <w:bCs/>
              </w:rPr>
              <w:t>Scope &amp; Purpose of Document</w:t>
            </w:r>
          </w:p>
        </w:tc>
      </w:tr>
      <w:tr w:rsidR="007A3797" w:rsidRPr="00EF0500" w:rsidTr="00092FCE">
        <w:tblPrEx>
          <w:shd w:val="clear" w:color="auto" w:fill="D9D9D9"/>
        </w:tblPrEx>
        <w:trPr>
          <w:trHeight w:val="1260"/>
          <w:jc w:val="center"/>
        </w:trPr>
        <w:tc>
          <w:tcPr>
            <w:tcW w:w="10440" w:type="dxa"/>
            <w:shd w:val="clear" w:color="auto" w:fill="auto"/>
          </w:tcPr>
          <w:p w:rsidR="002F5790" w:rsidRPr="002F5790" w:rsidRDefault="002F5790" w:rsidP="002F5790">
            <w:pPr>
              <w:tabs>
                <w:tab w:val="left" w:pos="4513"/>
              </w:tabs>
              <w:spacing w:after="0" w:line="240" w:lineRule="auto"/>
              <w:jc w:val="both"/>
              <w:rPr>
                <w:rFonts w:ascii="Arial" w:hAnsi="Arial"/>
                <w:sz w:val="20"/>
                <w:szCs w:val="20"/>
              </w:rPr>
            </w:pPr>
          </w:p>
          <w:p w:rsidR="00FC431D" w:rsidRDefault="00FB6EDE" w:rsidP="002F5790">
            <w:pPr>
              <w:tabs>
                <w:tab w:val="left" w:pos="4513"/>
              </w:tabs>
              <w:spacing w:after="0" w:line="240" w:lineRule="auto"/>
              <w:jc w:val="both"/>
              <w:rPr>
                <w:rFonts w:ascii="Arial" w:hAnsi="Arial"/>
                <w:sz w:val="20"/>
                <w:szCs w:val="20"/>
              </w:rPr>
            </w:pPr>
            <w:r>
              <w:rPr>
                <w:rFonts w:ascii="Arial" w:hAnsi="Arial"/>
                <w:sz w:val="20"/>
                <w:szCs w:val="20"/>
              </w:rPr>
              <w:t xml:space="preserve">This document describes the policy and procedure for complaints. </w:t>
            </w:r>
          </w:p>
          <w:p w:rsidR="00FA7614" w:rsidRPr="002F5790" w:rsidRDefault="00FA7614" w:rsidP="002F5790">
            <w:pPr>
              <w:tabs>
                <w:tab w:val="left" w:pos="4513"/>
              </w:tabs>
              <w:spacing w:after="0" w:line="240" w:lineRule="auto"/>
              <w:jc w:val="both"/>
              <w:rPr>
                <w:rFonts w:ascii="Arial" w:hAnsi="Arial"/>
                <w:sz w:val="20"/>
                <w:szCs w:val="20"/>
              </w:rPr>
            </w:pPr>
          </w:p>
          <w:p w:rsidR="002F5790" w:rsidRPr="00EF0500" w:rsidRDefault="00E05C2C" w:rsidP="00FB6EDE">
            <w:pPr>
              <w:tabs>
                <w:tab w:val="left" w:pos="4513"/>
              </w:tabs>
              <w:spacing w:after="0" w:line="240" w:lineRule="auto"/>
              <w:jc w:val="both"/>
            </w:pPr>
            <w:r w:rsidRPr="002F5790">
              <w:rPr>
                <w:rFonts w:ascii="Arial" w:hAnsi="Arial"/>
                <w:sz w:val="20"/>
                <w:szCs w:val="20"/>
              </w:rPr>
              <w:t xml:space="preserve">All </w:t>
            </w:r>
            <w:r w:rsidR="0011665D" w:rsidRPr="002F5790">
              <w:rPr>
                <w:rFonts w:ascii="Arial" w:hAnsi="Arial"/>
                <w:sz w:val="20"/>
                <w:szCs w:val="20"/>
              </w:rPr>
              <w:t xml:space="preserve">Departmental </w:t>
            </w:r>
            <w:r w:rsidRPr="002F5790">
              <w:rPr>
                <w:rFonts w:ascii="Arial" w:hAnsi="Arial"/>
                <w:sz w:val="20"/>
                <w:szCs w:val="20"/>
              </w:rPr>
              <w:t>staff are tasked with</w:t>
            </w:r>
            <w:r w:rsidR="0011665D" w:rsidRPr="002F5790">
              <w:rPr>
                <w:rFonts w:ascii="Arial" w:hAnsi="Arial"/>
                <w:sz w:val="20"/>
                <w:szCs w:val="20"/>
              </w:rPr>
              <w:t xml:space="preserve"> </w:t>
            </w:r>
            <w:r w:rsidR="00FB6EDE">
              <w:rPr>
                <w:rFonts w:ascii="Arial" w:hAnsi="Arial"/>
                <w:sz w:val="20"/>
                <w:szCs w:val="20"/>
              </w:rPr>
              <w:t xml:space="preserve">reporting and managing complaints, appropriate to their role. </w:t>
            </w:r>
          </w:p>
        </w:tc>
      </w:tr>
      <w:tr w:rsidR="007A3797" w:rsidRPr="00197CCE" w:rsidTr="00092FCE">
        <w:tblPrEx>
          <w:shd w:val="clear" w:color="auto" w:fill="D9D9D9"/>
        </w:tblPrEx>
        <w:trPr>
          <w:jc w:val="center"/>
        </w:trPr>
        <w:tc>
          <w:tcPr>
            <w:tcW w:w="10440" w:type="dxa"/>
            <w:tcBorders>
              <w:bottom w:val="single" w:sz="4" w:space="0" w:color="auto"/>
            </w:tcBorders>
            <w:shd w:val="clear" w:color="auto" w:fill="D9D9D9"/>
          </w:tcPr>
          <w:p w:rsidR="007A3797" w:rsidRPr="00197CCE" w:rsidRDefault="007A3797" w:rsidP="00591C76">
            <w:pPr>
              <w:spacing w:after="0" w:line="240" w:lineRule="auto"/>
              <w:rPr>
                <w:b/>
                <w:bCs/>
              </w:rPr>
            </w:pPr>
            <w:r w:rsidRPr="00197CCE">
              <w:rPr>
                <w:b/>
                <w:bCs/>
              </w:rPr>
              <w:t>Document Version Changes</w:t>
            </w:r>
          </w:p>
        </w:tc>
      </w:tr>
      <w:tr w:rsidR="007A3797" w:rsidRPr="00EF0500" w:rsidTr="00092FCE">
        <w:tblPrEx>
          <w:shd w:val="clear" w:color="auto" w:fill="D9D9D9"/>
        </w:tblPrEx>
        <w:trPr>
          <w:trHeight w:val="632"/>
          <w:jc w:val="center"/>
        </w:trPr>
        <w:tc>
          <w:tcPr>
            <w:tcW w:w="10440" w:type="dxa"/>
            <w:tcBorders>
              <w:bottom w:val="single" w:sz="4" w:space="0" w:color="auto"/>
            </w:tcBorders>
            <w:shd w:val="clear" w:color="auto" w:fill="auto"/>
          </w:tcPr>
          <w:p w:rsidR="002F5790" w:rsidRDefault="002F5790" w:rsidP="00D37188">
            <w:pPr>
              <w:spacing w:after="0" w:line="240" w:lineRule="auto"/>
            </w:pPr>
          </w:p>
          <w:p w:rsidR="00EB50FF" w:rsidRDefault="004535FA" w:rsidP="004535FA">
            <w:pPr>
              <w:tabs>
                <w:tab w:val="left" w:pos="4513"/>
              </w:tabs>
              <w:spacing w:after="0" w:line="240" w:lineRule="auto"/>
              <w:jc w:val="both"/>
              <w:rPr>
                <w:rFonts w:ascii="Arial" w:hAnsi="Arial"/>
                <w:sz w:val="20"/>
                <w:szCs w:val="20"/>
              </w:rPr>
            </w:pPr>
            <w:r>
              <w:rPr>
                <w:rFonts w:ascii="Arial" w:hAnsi="Arial"/>
                <w:sz w:val="20"/>
                <w:szCs w:val="20"/>
              </w:rPr>
              <w:t>Version 8</w:t>
            </w:r>
            <w:r w:rsidR="00D37188" w:rsidRPr="002F5790">
              <w:rPr>
                <w:rFonts w:ascii="Arial" w:hAnsi="Arial"/>
                <w:sz w:val="20"/>
                <w:szCs w:val="20"/>
              </w:rPr>
              <w:t xml:space="preserve"> </w:t>
            </w:r>
            <w:r w:rsidR="000440D8">
              <w:rPr>
                <w:rFonts w:ascii="Arial" w:hAnsi="Arial"/>
                <w:sz w:val="20"/>
                <w:szCs w:val="20"/>
              </w:rPr>
              <w:t xml:space="preserve">is amended to </w:t>
            </w:r>
            <w:r>
              <w:rPr>
                <w:rFonts w:ascii="Arial" w:hAnsi="Arial"/>
                <w:sz w:val="20"/>
                <w:szCs w:val="20"/>
              </w:rPr>
              <w:t>Version 9</w:t>
            </w:r>
            <w:r w:rsidR="0061669E">
              <w:rPr>
                <w:rFonts w:ascii="Arial" w:hAnsi="Arial"/>
                <w:sz w:val="20"/>
                <w:szCs w:val="20"/>
              </w:rPr>
              <w:t xml:space="preserve"> </w:t>
            </w:r>
            <w:r w:rsidR="00017924">
              <w:rPr>
                <w:rFonts w:ascii="Arial" w:hAnsi="Arial"/>
                <w:sz w:val="20"/>
                <w:szCs w:val="20"/>
              </w:rPr>
              <w:t>–</w:t>
            </w:r>
            <w:r w:rsidRPr="004535FA">
              <w:rPr>
                <w:rFonts w:ascii="Arial" w:hAnsi="Arial"/>
                <w:sz w:val="20"/>
                <w:szCs w:val="20"/>
              </w:rPr>
              <w:t>Remove requirement to complete QF-CGEN-004</w:t>
            </w:r>
            <w:r>
              <w:rPr>
                <w:rFonts w:ascii="Arial" w:hAnsi="Arial"/>
                <w:sz w:val="20"/>
                <w:szCs w:val="20"/>
              </w:rPr>
              <w:t xml:space="preserve"> – Complaints form</w:t>
            </w:r>
            <w:r w:rsidRPr="004535FA">
              <w:rPr>
                <w:rFonts w:ascii="Arial" w:hAnsi="Arial"/>
                <w:sz w:val="20"/>
                <w:szCs w:val="20"/>
              </w:rPr>
              <w:t>. Made obsolete after roll-out/embed of NC module.</w:t>
            </w:r>
          </w:p>
          <w:p w:rsidR="004535FA" w:rsidRPr="00EF0500" w:rsidRDefault="004535FA" w:rsidP="004535FA">
            <w:pPr>
              <w:tabs>
                <w:tab w:val="left" w:pos="4513"/>
              </w:tabs>
              <w:spacing w:after="0" w:line="240" w:lineRule="auto"/>
              <w:jc w:val="both"/>
            </w:pPr>
          </w:p>
        </w:tc>
      </w:tr>
      <w:tr w:rsidR="00D37188" w:rsidRPr="00EF0500" w:rsidTr="00092FCE">
        <w:tblPrEx>
          <w:shd w:val="clear" w:color="auto" w:fill="D9D9D9"/>
        </w:tblPrEx>
        <w:trPr>
          <w:trHeight w:val="304"/>
          <w:jc w:val="center"/>
        </w:trPr>
        <w:tc>
          <w:tcPr>
            <w:tcW w:w="10440" w:type="dxa"/>
            <w:shd w:val="clear" w:color="auto" w:fill="D9D9D9"/>
          </w:tcPr>
          <w:p w:rsidR="00D37188" w:rsidRPr="007A3797" w:rsidRDefault="00D37188" w:rsidP="007A3797">
            <w:pPr>
              <w:spacing w:after="0" w:line="240" w:lineRule="auto"/>
              <w:rPr>
                <w:b/>
                <w:bCs/>
              </w:rPr>
            </w:pPr>
            <w:r w:rsidRPr="00197CCE">
              <w:rPr>
                <w:b/>
                <w:bCs/>
              </w:rPr>
              <w:t>Document References</w:t>
            </w:r>
          </w:p>
        </w:tc>
      </w:tr>
      <w:tr w:rsidR="00D37188" w:rsidRPr="00FC431D" w:rsidTr="00092FCE">
        <w:tblPrEx>
          <w:shd w:val="clear" w:color="auto" w:fill="D9D9D9"/>
        </w:tblPrEx>
        <w:trPr>
          <w:trHeight w:val="483"/>
          <w:jc w:val="center"/>
        </w:trPr>
        <w:tc>
          <w:tcPr>
            <w:tcW w:w="10440" w:type="dxa"/>
            <w:tcBorders>
              <w:bottom w:val="single" w:sz="4" w:space="0" w:color="auto"/>
            </w:tcBorders>
            <w:shd w:val="clear" w:color="auto" w:fill="auto"/>
          </w:tcPr>
          <w:p w:rsidR="00D37188" w:rsidRDefault="00D37188" w:rsidP="00D37188">
            <w:pPr>
              <w:pStyle w:val="Bullet"/>
              <w:numPr>
                <w:ilvl w:val="0"/>
                <w:numId w:val="0"/>
              </w:numPr>
              <w:jc w:val="both"/>
              <w:rPr>
                <w:sz w:val="20"/>
                <w:szCs w:val="20"/>
              </w:rPr>
            </w:pPr>
          </w:p>
          <w:p w:rsidR="0011665D" w:rsidRPr="00C83DB4" w:rsidRDefault="001227B9" w:rsidP="00C83DB4">
            <w:pPr>
              <w:pStyle w:val="Bullet"/>
              <w:numPr>
                <w:ilvl w:val="0"/>
                <w:numId w:val="17"/>
              </w:numPr>
              <w:jc w:val="both"/>
              <w:rPr>
                <w:sz w:val="20"/>
                <w:szCs w:val="20"/>
              </w:rPr>
            </w:pPr>
            <w:r>
              <w:rPr>
                <w:sz w:val="20"/>
                <w:szCs w:val="20"/>
              </w:rPr>
              <w:t>ISO: 15189:202</w:t>
            </w:r>
            <w:r w:rsidR="00C83DB4" w:rsidRPr="00C83DB4">
              <w:rPr>
                <w:sz w:val="20"/>
                <w:szCs w:val="20"/>
              </w:rPr>
              <w:t>2</w:t>
            </w:r>
            <w:r w:rsidR="00FA7614" w:rsidRPr="00C83DB4">
              <w:rPr>
                <w:sz w:val="20"/>
                <w:szCs w:val="20"/>
              </w:rPr>
              <w:t xml:space="preserve"> – Medical Laboratories – Requirements for Quality and Competence.</w:t>
            </w:r>
          </w:p>
          <w:p w:rsidR="00C83DB4" w:rsidRPr="00C83DB4" w:rsidRDefault="00C83DB4" w:rsidP="00C83DB4">
            <w:pPr>
              <w:pStyle w:val="Bullet"/>
              <w:numPr>
                <w:ilvl w:val="0"/>
                <w:numId w:val="17"/>
              </w:numPr>
              <w:jc w:val="both"/>
              <w:rPr>
                <w:sz w:val="20"/>
                <w:szCs w:val="20"/>
              </w:rPr>
            </w:pPr>
            <w:r w:rsidRPr="00C83DB4">
              <w:rPr>
                <w:sz w:val="20"/>
                <w:szCs w:val="20"/>
              </w:rPr>
              <w:t>Volume 4</w:t>
            </w:r>
            <w:r>
              <w:rPr>
                <w:sz w:val="20"/>
                <w:szCs w:val="20"/>
              </w:rPr>
              <w:t>,</w:t>
            </w:r>
            <w:r w:rsidRPr="00C83DB4">
              <w:rPr>
                <w:sz w:val="20"/>
                <w:szCs w:val="20"/>
              </w:rPr>
              <w:t xml:space="preserve"> EU Guidelines for Good Manufacturing Practice for Medicinal Products for Human and Veterinary Use</w:t>
            </w:r>
            <w:r>
              <w:rPr>
                <w:sz w:val="20"/>
                <w:szCs w:val="20"/>
              </w:rPr>
              <w:t>,</w:t>
            </w:r>
            <w:r w:rsidRPr="00C83DB4">
              <w:rPr>
                <w:sz w:val="20"/>
                <w:szCs w:val="20"/>
              </w:rPr>
              <w:t xml:space="preserve"> Part 1 Chapter 8: Complaints, Quality Defects and Product Recalls</w:t>
            </w:r>
          </w:p>
          <w:p w:rsidR="00B67CCC" w:rsidRPr="00C83DB4" w:rsidRDefault="00FC431D" w:rsidP="00C83DB4">
            <w:pPr>
              <w:pStyle w:val="Bullet"/>
              <w:numPr>
                <w:ilvl w:val="0"/>
                <w:numId w:val="17"/>
              </w:numPr>
              <w:jc w:val="both"/>
              <w:rPr>
                <w:sz w:val="20"/>
                <w:szCs w:val="20"/>
              </w:rPr>
            </w:pPr>
            <w:r w:rsidRPr="00C83DB4">
              <w:rPr>
                <w:sz w:val="20"/>
                <w:szCs w:val="20"/>
              </w:rPr>
              <w:t>NHSGGC Risk Policy.</w:t>
            </w:r>
          </w:p>
          <w:p w:rsidR="00FC431D" w:rsidRPr="00C83DB4" w:rsidRDefault="00FC431D" w:rsidP="00C83DB4">
            <w:pPr>
              <w:pStyle w:val="Bullet"/>
              <w:numPr>
                <w:ilvl w:val="0"/>
                <w:numId w:val="17"/>
              </w:numPr>
              <w:jc w:val="both"/>
              <w:rPr>
                <w:sz w:val="20"/>
                <w:szCs w:val="20"/>
              </w:rPr>
            </w:pPr>
            <w:r w:rsidRPr="00C83DB4">
              <w:rPr>
                <w:sz w:val="20"/>
                <w:szCs w:val="20"/>
              </w:rPr>
              <w:t>NHSGGC Complaints Policy.</w:t>
            </w:r>
          </w:p>
          <w:p w:rsidR="00FC431D" w:rsidRPr="00FC431D" w:rsidRDefault="00FC431D" w:rsidP="00FB6EDE">
            <w:pPr>
              <w:pStyle w:val="Bullet"/>
              <w:numPr>
                <w:ilvl w:val="0"/>
                <w:numId w:val="0"/>
              </w:numPr>
              <w:ind w:left="720"/>
              <w:jc w:val="both"/>
              <w:rPr>
                <w:b/>
                <w:bCs/>
              </w:rPr>
            </w:pPr>
          </w:p>
        </w:tc>
      </w:tr>
      <w:tr w:rsidR="00D37188" w:rsidRPr="00EF0500" w:rsidTr="00092FCE">
        <w:tblPrEx>
          <w:shd w:val="clear" w:color="auto" w:fill="D9D9D9"/>
        </w:tblPrEx>
        <w:trPr>
          <w:trHeight w:val="324"/>
          <w:jc w:val="center"/>
        </w:trPr>
        <w:tc>
          <w:tcPr>
            <w:tcW w:w="10440" w:type="dxa"/>
            <w:shd w:val="clear" w:color="auto" w:fill="D9D9D9"/>
          </w:tcPr>
          <w:p w:rsidR="00D37188" w:rsidRPr="000865C9" w:rsidRDefault="00D37188" w:rsidP="000865C9">
            <w:pPr>
              <w:pStyle w:val="ListParagraph"/>
              <w:spacing w:after="0" w:line="240" w:lineRule="auto"/>
              <w:ind w:left="0"/>
              <w:rPr>
                <w:bCs/>
              </w:rPr>
            </w:pPr>
            <w:r w:rsidRPr="00197CCE">
              <w:rPr>
                <w:b/>
                <w:bCs/>
              </w:rPr>
              <w:t>Related Documents</w:t>
            </w:r>
          </w:p>
        </w:tc>
      </w:tr>
      <w:tr w:rsidR="00D37188" w:rsidRPr="00B67CCC" w:rsidTr="00092FCE">
        <w:tblPrEx>
          <w:shd w:val="clear" w:color="auto" w:fill="D9D9D9"/>
        </w:tblPrEx>
        <w:trPr>
          <w:trHeight w:val="1219"/>
          <w:jc w:val="center"/>
        </w:trPr>
        <w:tc>
          <w:tcPr>
            <w:tcW w:w="10440" w:type="dxa"/>
            <w:shd w:val="clear" w:color="auto" w:fill="auto"/>
          </w:tcPr>
          <w:p w:rsidR="00EA7647" w:rsidRPr="00E05C2C" w:rsidRDefault="00EA7647" w:rsidP="00E05C2C">
            <w:pPr>
              <w:pStyle w:val="Bullet"/>
              <w:numPr>
                <w:ilvl w:val="0"/>
                <w:numId w:val="0"/>
              </w:numPr>
              <w:jc w:val="both"/>
              <w:rPr>
                <w:sz w:val="20"/>
                <w:szCs w:val="20"/>
              </w:rPr>
            </w:pPr>
          </w:p>
          <w:p w:rsidR="00851CE5" w:rsidRPr="00C242ED" w:rsidRDefault="00FC431D" w:rsidP="00FC431D">
            <w:pPr>
              <w:pStyle w:val="Bullet"/>
              <w:numPr>
                <w:ilvl w:val="0"/>
                <w:numId w:val="0"/>
              </w:numPr>
              <w:jc w:val="both"/>
              <w:rPr>
                <w:sz w:val="20"/>
                <w:szCs w:val="20"/>
              </w:rPr>
            </w:pPr>
            <w:r w:rsidRPr="00C242ED">
              <w:rPr>
                <w:sz w:val="20"/>
                <w:szCs w:val="20"/>
              </w:rPr>
              <w:t xml:space="preserve">HP-CGEN-005 – Risk </w:t>
            </w:r>
            <w:r w:rsidR="00B64C81" w:rsidRPr="00C242ED">
              <w:rPr>
                <w:sz w:val="20"/>
                <w:szCs w:val="20"/>
              </w:rPr>
              <w:t xml:space="preserve">&amp; Incident </w:t>
            </w:r>
            <w:r w:rsidRPr="00C242ED">
              <w:rPr>
                <w:sz w:val="20"/>
                <w:szCs w:val="20"/>
              </w:rPr>
              <w:t>Management Policy</w:t>
            </w:r>
          </w:p>
          <w:p w:rsidR="00A55DBD" w:rsidRPr="00B37EE5" w:rsidRDefault="00C242ED" w:rsidP="00B37EE5">
            <w:pPr>
              <w:pStyle w:val="Bullet"/>
              <w:numPr>
                <w:ilvl w:val="0"/>
                <w:numId w:val="0"/>
              </w:numPr>
              <w:rPr>
                <w:color w:val="0000FF"/>
              </w:rPr>
            </w:pPr>
            <w:r w:rsidRPr="00C242ED">
              <w:rPr>
                <w:sz w:val="20"/>
                <w:szCs w:val="20"/>
              </w:rPr>
              <w:t>LI-CGEN-020 – Root Cause Analysis – Investigation Procedures</w:t>
            </w:r>
          </w:p>
        </w:tc>
      </w:tr>
    </w:tbl>
    <w:p w:rsidR="0074676C" w:rsidRDefault="0074676C" w:rsidP="00342F08">
      <w:pPr>
        <w:rPr>
          <w:rFonts w:ascii="Arial" w:hAnsi="Arial" w:cs="Arial"/>
          <w:b/>
        </w:rPr>
      </w:pPr>
    </w:p>
    <w:p w:rsidR="00FB6EDE" w:rsidRDefault="00FB6EDE" w:rsidP="00342F08">
      <w:pPr>
        <w:rPr>
          <w:rFonts w:ascii="Arial" w:hAnsi="Arial" w:cs="Arial"/>
          <w:b/>
        </w:rPr>
      </w:pPr>
    </w:p>
    <w:p w:rsidR="00FB6EDE" w:rsidRDefault="00FB6EDE" w:rsidP="00342F08">
      <w:pPr>
        <w:rPr>
          <w:rFonts w:ascii="Arial" w:hAnsi="Arial" w:cs="Arial"/>
          <w:b/>
        </w:rPr>
      </w:pPr>
    </w:p>
    <w:p w:rsidR="00FB6EDE" w:rsidRDefault="00FB6EDE" w:rsidP="00342F08">
      <w:pPr>
        <w:rPr>
          <w:rFonts w:ascii="Arial" w:hAnsi="Arial" w:cs="Arial"/>
          <w:b/>
        </w:rPr>
      </w:pPr>
    </w:p>
    <w:p w:rsidR="00FB6EDE" w:rsidRDefault="00FB6EDE" w:rsidP="00342F08">
      <w:pPr>
        <w:rPr>
          <w:rFonts w:ascii="Arial" w:hAnsi="Arial" w:cs="Arial"/>
          <w:b/>
        </w:rPr>
      </w:pPr>
    </w:p>
    <w:p w:rsidR="00FB6EDE" w:rsidRDefault="00FB6EDE" w:rsidP="00342F08">
      <w:pPr>
        <w:rPr>
          <w:rFonts w:ascii="Arial" w:hAnsi="Arial" w:cs="Arial"/>
          <w:b/>
        </w:rPr>
      </w:pPr>
    </w:p>
    <w:p w:rsidR="00FB6EDE" w:rsidRDefault="00FB6EDE" w:rsidP="00342F08">
      <w:pPr>
        <w:rPr>
          <w:rFonts w:ascii="Arial" w:hAnsi="Arial" w:cs="Arial"/>
          <w:b/>
        </w:rPr>
      </w:pPr>
    </w:p>
    <w:p w:rsidR="00FB6EDE" w:rsidRDefault="00FB6EDE" w:rsidP="00342F08">
      <w:pPr>
        <w:rPr>
          <w:rFonts w:ascii="Arial" w:hAnsi="Arial" w:cs="Arial"/>
          <w:b/>
        </w:rPr>
      </w:pPr>
    </w:p>
    <w:p w:rsidR="00FB6EDE" w:rsidRDefault="00FB6EDE" w:rsidP="00342F08">
      <w:pPr>
        <w:rPr>
          <w:rFonts w:ascii="Arial" w:hAnsi="Arial" w:cs="Arial"/>
          <w:b/>
        </w:rPr>
      </w:pPr>
    </w:p>
    <w:p w:rsidR="00FB6EDE" w:rsidRDefault="00FB6EDE" w:rsidP="00342F08">
      <w:pPr>
        <w:rPr>
          <w:rFonts w:ascii="Arial" w:hAnsi="Arial" w:cs="Arial"/>
          <w:b/>
        </w:rPr>
      </w:pPr>
    </w:p>
    <w:p w:rsidR="002B2E41" w:rsidRDefault="002B2E41" w:rsidP="00342F08">
      <w:pPr>
        <w:rPr>
          <w:rFonts w:ascii="Arial" w:hAnsi="Arial" w:cs="Arial"/>
          <w:b/>
        </w:rPr>
      </w:pPr>
    </w:p>
    <w:p w:rsidR="002B2E41" w:rsidRDefault="002B2E41" w:rsidP="00342F08">
      <w:pPr>
        <w:rPr>
          <w:rFonts w:ascii="Arial" w:hAnsi="Arial" w:cs="Arial"/>
          <w:b/>
        </w:rPr>
      </w:pPr>
    </w:p>
    <w:p w:rsidR="00FB6EDE" w:rsidRDefault="00FB6EDE" w:rsidP="00342F08">
      <w:pPr>
        <w:rPr>
          <w:rFonts w:ascii="Arial" w:hAnsi="Arial" w:cs="Arial"/>
          <w:b/>
        </w:rPr>
      </w:pPr>
    </w:p>
    <w:p w:rsidR="00FB6EDE" w:rsidRDefault="00FB6EDE" w:rsidP="00342F08">
      <w:pPr>
        <w:rPr>
          <w:rFonts w:ascii="Arial" w:hAnsi="Arial" w:cs="Arial"/>
          <w:b/>
        </w:rPr>
      </w:pPr>
    </w:p>
    <w:p w:rsidR="00A55DBD" w:rsidRDefault="00A55DBD" w:rsidP="00342F08">
      <w:pPr>
        <w:rPr>
          <w:rFonts w:ascii="Arial" w:hAnsi="Arial" w:cs="Arial"/>
          <w:b/>
        </w:rPr>
      </w:pPr>
      <w:r w:rsidRPr="00CD1926">
        <w:rPr>
          <w:rFonts w:ascii="Arial" w:hAnsi="Arial" w:cs="Arial"/>
          <w:b/>
        </w:rPr>
        <w:t>INDEX –</w:t>
      </w:r>
    </w:p>
    <w:p w:rsidR="002B2E41" w:rsidRDefault="00F862AA">
      <w:pPr>
        <w:pStyle w:val="TOC1"/>
        <w:tabs>
          <w:tab w:val="left" w:pos="660"/>
          <w:tab w:val="right" w:leader="dot" w:pos="9628"/>
        </w:tabs>
        <w:rPr>
          <w:rFonts w:asciiTheme="minorHAnsi" w:eastAsiaTheme="minorEastAsia" w:hAnsiTheme="minorHAnsi" w:cstheme="minorBidi"/>
          <w:b w:val="0"/>
          <w:bCs w:val="0"/>
          <w:caps w:val="0"/>
          <w:noProof/>
          <w:sz w:val="22"/>
          <w:szCs w:val="22"/>
          <w:lang w:eastAsia="en-GB"/>
        </w:rPr>
      </w:pPr>
      <w:r w:rsidRPr="00F72BE0">
        <w:rPr>
          <w:rFonts w:ascii="Arial" w:hAnsi="Arial" w:cs="Arial"/>
          <w:b w:val="0"/>
        </w:rPr>
        <w:lastRenderedPageBreak/>
        <w:fldChar w:fldCharType="begin"/>
      </w:r>
      <w:r w:rsidR="00F72BE0" w:rsidRPr="00F72BE0">
        <w:rPr>
          <w:rFonts w:ascii="Arial" w:hAnsi="Arial" w:cs="Arial"/>
          <w:b w:val="0"/>
        </w:rPr>
        <w:instrText xml:space="preserve"> TOC \o "1-2" \h \z \u </w:instrText>
      </w:r>
      <w:r w:rsidRPr="00F72BE0">
        <w:rPr>
          <w:rFonts w:ascii="Arial" w:hAnsi="Arial" w:cs="Arial"/>
          <w:b w:val="0"/>
        </w:rPr>
        <w:fldChar w:fldCharType="separate"/>
      </w:r>
      <w:hyperlink w:anchor="_Toc222466699" w:history="1">
        <w:r w:rsidR="002B2E41" w:rsidRPr="00307780">
          <w:rPr>
            <w:rStyle w:val="Hyperlink"/>
            <w:noProof/>
          </w:rPr>
          <w:t>1.0</w:t>
        </w:r>
        <w:r w:rsidR="002B2E41">
          <w:rPr>
            <w:rFonts w:asciiTheme="minorHAnsi" w:eastAsiaTheme="minorEastAsia" w:hAnsiTheme="minorHAnsi" w:cstheme="minorBidi"/>
            <w:b w:val="0"/>
            <w:bCs w:val="0"/>
            <w:caps w:val="0"/>
            <w:noProof/>
            <w:sz w:val="22"/>
            <w:szCs w:val="22"/>
            <w:lang w:eastAsia="en-GB"/>
          </w:rPr>
          <w:tab/>
        </w:r>
        <w:r w:rsidR="002B2E41" w:rsidRPr="00307780">
          <w:rPr>
            <w:rStyle w:val="Hyperlink"/>
            <w:noProof/>
          </w:rPr>
          <w:t>Context setting – NHS Complaints Procedure</w:t>
        </w:r>
        <w:r w:rsidR="002B2E41">
          <w:rPr>
            <w:noProof/>
            <w:webHidden/>
          </w:rPr>
          <w:tab/>
        </w:r>
        <w:r w:rsidR="002B2E41">
          <w:rPr>
            <w:noProof/>
            <w:webHidden/>
          </w:rPr>
          <w:fldChar w:fldCharType="begin"/>
        </w:r>
        <w:r w:rsidR="002B2E41">
          <w:rPr>
            <w:noProof/>
            <w:webHidden/>
          </w:rPr>
          <w:instrText xml:space="preserve"> PAGEREF _Toc222466699 \h </w:instrText>
        </w:r>
        <w:r w:rsidR="002B2E41">
          <w:rPr>
            <w:noProof/>
            <w:webHidden/>
          </w:rPr>
        </w:r>
        <w:r w:rsidR="002B2E41">
          <w:rPr>
            <w:noProof/>
            <w:webHidden/>
          </w:rPr>
          <w:fldChar w:fldCharType="separate"/>
        </w:r>
        <w:r w:rsidR="002B2E41">
          <w:rPr>
            <w:noProof/>
            <w:webHidden/>
          </w:rPr>
          <w:t>2</w:t>
        </w:r>
        <w:r w:rsidR="002B2E41">
          <w:rPr>
            <w:noProof/>
            <w:webHidden/>
          </w:rPr>
          <w:fldChar w:fldCharType="end"/>
        </w:r>
      </w:hyperlink>
    </w:p>
    <w:p w:rsidR="002B2E41" w:rsidRDefault="00F8098E">
      <w:pPr>
        <w:pStyle w:val="TOC1"/>
        <w:tabs>
          <w:tab w:val="left" w:pos="660"/>
          <w:tab w:val="right" w:leader="dot" w:pos="9628"/>
        </w:tabs>
        <w:rPr>
          <w:rFonts w:asciiTheme="minorHAnsi" w:eastAsiaTheme="minorEastAsia" w:hAnsiTheme="minorHAnsi" w:cstheme="minorBidi"/>
          <w:b w:val="0"/>
          <w:bCs w:val="0"/>
          <w:caps w:val="0"/>
          <w:noProof/>
          <w:sz w:val="22"/>
          <w:szCs w:val="22"/>
          <w:lang w:eastAsia="en-GB"/>
        </w:rPr>
      </w:pPr>
      <w:hyperlink w:anchor="_Toc222466700" w:history="1">
        <w:r w:rsidR="002B2E41" w:rsidRPr="00307780">
          <w:rPr>
            <w:rStyle w:val="Hyperlink"/>
            <w:noProof/>
          </w:rPr>
          <w:t>2.0</w:t>
        </w:r>
        <w:r w:rsidR="002B2E41">
          <w:rPr>
            <w:rFonts w:asciiTheme="minorHAnsi" w:eastAsiaTheme="minorEastAsia" w:hAnsiTheme="minorHAnsi" w:cstheme="minorBidi"/>
            <w:b w:val="0"/>
            <w:bCs w:val="0"/>
            <w:caps w:val="0"/>
            <w:noProof/>
            <w:sz w:val="22"/>
            <w:szCs w:val="22"/>
            <w:lang w:eastAsia="en-GB"/>
          </w:rPr>
          <w:tab/>
        </w:r>
        <w:r w:rsidR="002B2E41" w:rsidRPr="00307780">
          <w:rPr>
            <w:rStyle w:val="Hyperlink"/>
            <w:noProof/>
          </w:rPr>
          <w:t>NHSGGC Policy</w:t>
        </w:r>
        <w:r w:rsidR="002B2E41">
          <w:rPr>
            <w:noProof/>
            <w:webHidden/>
          </w:rPr>
          <w:tab/>
        </w:r>
        <w:r w:rsidR="002B2E41">
          <w:rPr>
            <w:noProof/>
            <w:webHidden/>
          </w:rPr>
          <w:fldChar w:fldCharType="begin"/>
        </w:r>
        <w:r w:rsidR="002B2E41">
          <w:rPr>
            <w:noProof/>
            <w:webHidden/>
          </w:rPr>
          <w:instrText xml:space="preserve"> PAGEREF _Toc222466700 \h </w:instrText>
        </w:r>
        <w:r w:rsidR="002B2E41">
          <w:rPr>
            <w:noProof/>
            <w:webHidden/>
          </w:rPr>
        </w:r>
        <w:r w:rsidR="002B2E41">
          <w:rPr>
            <w:noProof/>
            <w:webHidden/>
          </w:rPr>
          <w:fldChar w:fldCharType="separate"/>
        </w:r>
        <w:r w:rsidR="002B2E41">
          <w:rPr>
            <w:noProof/>
            <w:webHidden/>
          </w:rPr>
          <w:t>3</w:t>
        </w:r>
        <w:r w:rsidR="002B2E41">
          <w:rPr>
            <w:noProof/>
            <w:webHidden/>
          </w:rPr>
          <w:fldChar w:fldCharType="end"/>
        </w:r>
      </w:hyperlink>
    </w:p>
    <w:p w:rsidR="002B2E41" w:rsidRDefault="00F8098E">
      <w:pPr>
        <w:pStyle w:val="TOC2"/>
        <w:tabs>
          <w:tab w:val="right" w:leader="dot" w:pos="9628"/>
        </w:tabs>
        <w:rPr>
          <w:rFonts w:asciiTheme="minorHAnsi" w:eastAsiaTheme="minorEastAsia" w:hAnsiTheme="minorHAnsi" w:cstheme="minorBidi"/>
          <w:smallCaps w:val="0"/>
          <w:noProof/>
          <w:sz w:val="22"/>
          <w:szCs w:val="22"/>
          <w:lang w:eastAsia="en-GB"/>
        </w:rPr>
      </w:pPr>
      <w:hyperlink w:anchor="_Toc222466701" w:history="1">
        <w:r w:rsidR="002B2E41" w:rsidRPr="00307780">
          <w:rPr>
            <w:rStyle w:val="Hyperlink"/>
            <w:noProof/>
          </w:rPr>
          <w:t>2.1 Definition of a Complaint</w:t>
        </w:r>
        <w:r w:rsidR="002B2E41">
          <w:rPr>
            <w:noProof/>
            <w:webHidden/>
          </w:rPr>
          <w:tab/>
        </w:r>
        <w:r w:rsidR="002B2E41">
          <w:rPr>
            <w:noProof/>
            <w:webHidden/>
          </w:rPr>
          <w:fldChar w:fldCharType="begin"/>
        </w:r>
        <w:r w:rsidR="002B2E41">
          <w:rPr>
            <w:noProof/>
            <w:webHidden/>
          </w:rPr>
          <w:instrText xml:space="preserve"> PAGEREF _Toc222466701 \h </w:instrText>
        </w:r>
        <w:r w:rsidR="002B2E41">
          <w:rPr>
            <w:noProof/>
            <w:webHidden/>
          </w:rPr>
        </w:r>
        <w:r w:rsidR="002B2E41">
          <w:rPr>
            <w:noProof/>
            <w:webHidden/>
          </w:rPr>
          <w:fldChar w:fldCharType="separate"/>
        </w:r>
        <w:r w:rsidR="002B2E41">
          <w:rPr>
            <w:noProof/>
            <w:webHidden/>
          </w:rPr>
          <w:t>3</w:t>
        </w:r>
        <w:r w:rsidR="002B2E41">
          <w:rPr>
            <w:noProof/>
            <w:webHidden/>
          </w:rPr>
          <w:fldChar w:fldCharType="end"/>
        </w:r>
      </w:hyperlink>
    </w:p>
    <w:p w:rsidR="002B2E41" w:rsidRDefault="00F8098E">
      <w:pPr>
        <w:pStyle w:val="TOC2"/>
        <w:tabs>
          <w:tab w:val="right" w:leader="dot" w:pos="9628"/>
        </w:tabs>
        <w:rPr>
          <w:rFonts w:asciiTheme="minorHAnsi" w:eastAsiaTheme="minorEastAsia" w:hAnsiTheme="minorHAnsi" w:cstheme="minorBidi"/>
          <w:smallCaps w:val="0"/>
          <w:noProof/>
          <w:sz w:val="22"/>
          <w:szCs w:val="22"/>
          <w:lang w:eastAsia="en-GB"/>
        </w:rPr>
      </w:pPr>
      <w:hyperlink w:anchor="_Toc222466702" w:history="1">
        <w:r w:rsidR="002B2E41" w:rsidRPr="00307780">
          <w:rPr>
            <w:rStyle w:val="Hyperlink"/>
            <w:noProof/>
          </w:rPr>
          <w:t>2.1.1 Definition of a Clinical Complaint</w:t>
        </w:r>
        <w:r w:rsidR="002B2E41">
          <w:rPr>
            <w:noProof/>
            <w:webHidden/>
          </w:rPr>
          <w:tab/>
        </w:r>
        <w:r w:rsidR="002B2E41">
          <w:rPr>
            <w:noProof/>
            <w:webHidden/>
          </w:rPr>
          <w:fldChar w:fldCharType="begin"/>
        </w:r>
        <w:r w:rsidR="002B2E41">
          <w:rPr>
            <w:noProof/>
            <w:webHidden/>
          </w:rPr>
          <w:instrText xml:space="preserve"> PAGEREF _Toc222466702 \h </w:instrText>
        </w:r>
        <w:r w:rsidR="002B2E41">
          <w:rPr>
            <w:noProof/>
            <w:webHidden/>
          </w:rPr>
        </w:r>
        <w:r w:rsidR="002B2E41">
          <w:rPr>
            <w:noProof/>
            <w:webHidden/>
          </w:rPr>
          <w:fldChar w:fldCharType="separate"/>
        </w:r>
        <w:r w:rsidR="002B2E41">
          <w:rPr>
            <w:noProof/>
            <w:webHidden/>
          </w:rPr>
          <w:t>3</w:t>
        </w:r>
        <w:r w:rsidR="002B2E41">
          <w:rPr>
            <w:noProof/>
            <w:webHidden/>
          </w:rPr>
          <w:fldChar w:fldCharType="end"/>
        </w:r>
      </w:hyperlink>
    </w:p>
    <w:p w:rsidR="002B2E41" w:rsidRDefault="00F8098E">
      <w:pPr>
        <w:pStyle w:val="TOC1"/>
        <w:tabs>
          <w:tab w:val="left" w:pos="660"/>
          <w:tab w:val="right" w:leader="dot" w:pos="9628"/>
        </w:tabs>
        <w:rPr>
          <w:rFonts w:asciiTheme="minorHAnsi" w:eastAsiaTheme="minorEastAsia" w:hAnsiTheme="minorHAnsi" w:cstheme="minorBidi"/>
          <w:b w:val="0"/>
          <w:bCs w:val="0"/>
          <w:caps w:val="0"/>
          <w:noProof/>
          <w:sz w:val="22"/>
          <w:szCs w:val="22"/>
          <w:lang w:eastAsia="en-GB"/>
        </w:rPr>
      </w:pPr>
      <w:hyperlink w:anchor="_Toc222466703" w:history="1">
        <w:r w:rsidR="002B2E41" w:rsidRPr="00307780">
          <w:rPr>
            <w:rStyle w:val="Hyperlink"/>
            <w:noProof/>
          </w:rPr>
          <w:t>3.0</w:t>
        </w:r>
        <w:r w:rsidR="002B2E41">
          <w:rPr>
            <w:rFonts w:asciiTheme="minorHAnsi" w:eastAsiaTheme="minorEastAsia" w:hAnsiTheme="minorHAnsi" w:cstheme="minorBidi"/>
            <w:b w:val="0"/>
            <w:bCs w:val="0"/>
            <w:caps w:val="0"/>
            <w:noProof/>
            <w:sz w:val="22"/>
            <w:szCs w:val="22"/>
            <w:lang w:eastAsia="en-GB"/>
          </w:rPr>
          <w:tab/>
        </w:r>
        <w:r w:rsidR="002B2E41" w:rsidRPr="00307780">
          <w:rPr>
            <w:rStyle w:val="Hyperlink"/>
            <w:noProof/>
          </w:rPr>
          <w:t>Departmental Complaints Procedure</w:t>
        </w:r>
        <w:r w:rsidR="002B2E41">
          <w:rPr>
            <w:noProof/>
            <w:webHidden/>
          </w:rPr>
          <w:tab/>
        </w:r>
        <w:r w:rsidR="002B2E41">
          <w:rPr>
            <w:noProof/>
            <w:webHidden/>
          </w:rPr>
          <w:fldChar w:fldCharType="begin"/>
        </w:r>
        <w:r w:rsidR="002B2E41">
          <w:rPr>
            <w:noProof/>
            <w:webHidden/>
          </w:rPr>
          <w:instrText xml:space="preserve"> PAGEREF _Toc222466703 \h </w:instrText>
        </w:r>
        <w:r w:rsidR="002B2E41">
          <w:rPr>
            <w:noProof/>
            <w:webHidden/>
          </w:rPr>
        </w:r>
        <w:r w:rsidR="002B2E41">
          <w:rPr>
            <w:noProof/>
            <w:webHidden/>
          </w:rPr>
          <w:fldChar w:fldCharType="separate"/>
        </w:r>
        <w:r w:rsidR="002B2E41">
          <w:rPr>
            <w:noProof/>
            <w:webHidden/>
          </w:rPr>
          <w:t>3</w:t>
        </w:r>
        <w:r w:rsidR="002B2E41">
          <w:rPr>
            <w:noProof/>
            <w:webHidden/>
          </w:rPr>
          <w:fldChar w:fldCharType="end"/>
        </w:r>
      </w:hyperlink>
    </w:p>
    <w:p w:rsidR="002B2E41" w:rsidRDefault="00F8098E">
      <w:pPr>
        <w:pStyle w:val="TOC2"/>
        <w:tabs>
          <w:tab w:val="right" w:leader="dot" w:pos="9628"/>
        </w:tabs>
        <w:rPr>
          <w:rFonts w:asciiTheme="minorHAnsi" w:eastAsiaTheme="minorEastAsia" w:hAnsiTheme="minorHAnsi" w:cstheme="minorBidi"/>
          <w:smallCaps w:val="0"/>
          <w:noProof/>
          <w:sz w:val="22"/>
          <w:szCs w:val="22"/>
          <w:lang w:eastAsia="en-GB"/>
        </w:rPr>
      </w:pPr>
      <w:hyperlink w:anchor="_Toc222466704" w:history="1">
        <w:r w:rsidR="002B2E41" w:rsidRPr="00307780">
          <w:rPr>
            <w:rStyle w:val="Hyperlink"/>
            <w:noProof/>
          </w:rPr>
          <w:t>3.1 General Principles</w:t>
        </w:r>
        <w:r w:rsidR="002B2E41">
          <w:rPr>
            <w:noProof/>
            <w:webHidden/>
          </w:rPr>
          <w:tab/>
        </w:r>
        <w:r w:rsidR="002B2E41">
          <w:rPr>
            <w:noProof/>
            <w:webHidden/>
          </w:rPr>
          <w:fldChar w:fldCharType="begin"/>
        </w:r>
        <w:r w:rsidR="002B2E41">
          <w:rPr>
            <w:noProof/>
            <w:webHidden/>
          </w:rPr>
          <w:instrText xml:space="preserve"> PAGEREF _Toc222466704 \h </w:instrText>
        </w:r>
        <w:r w:rsidR="002B2E41">
          <w:rPr>
            <w:noProof/>
            <w:webHidden/>
          </w:rPr>
        </w:r>
        <w:r w:rsidR="002B2E41">
          <w:rPr>
            <w:noProof/>
            <w:webHidden/>
          </w:rPr>
          <w:fldChar w:fldCharType="separate"/>
        </w:r>
        <w:r w:rsidR="002B2E41">
          <w:rPr>
            <w:noProof/>
            <w:webHidden/>
          </w:rPr>
          <w:t>3</w:t>
        </w:r>
        <w:r w:rsidR="002B2E41">
          <w:rPr>
            <w:noProof/>
            <w:webHidden/>
          </w:rPr>
          <w:fldChar w:fldCharType="end"/>
        </w:r>
      </w:hyperlink>
    </w:p>
    <w:p w:rsidR="002B2E41" w:rsidRDefault="00F8098E">
      <w:pPr>
        <w:pStyle w:val="TOC2"/>
        <w:tabs>
          <w:tab w:val="right" w:leader="dot" w:pos="9628"/>
        </w:tabs>
        <w:rPr>
          <w:rFonts w:asciiTheme="minorHAnsi" w:eastAsiaTheme="minorEastAsia" w:hAnsiTheme="minorHAnsi" w:cstheme="minorBidi"/>
          <w:smallCaps w:val="0"/>
          <w:noProof/>
          <w:sz w:val="22"/>
          <w:szCs w:val="22"/>
          <w:lang w:eastAsia="en-GB"/>
        </w:rPr>
      </w:pPr>
      <w:hyperlink w:anchor="_Toc222466705" w:history="1">
        <w:r w:rsidR="002B2E41" w:rsidRPr="00307780">
          <w:rPr>
            <w:rStyle w:val="Hyperlink"/>
            <w:noProof/>
          </w:rPr>
          <w:t>3.2 Procedure for Handling Verbal Complaints</w:t>
        </w:r>
        <w:r w:rsidR="002B2E41">
          <w:rPr>
            <w:noProof/>
            <w:webHidden/>
          </w:rPr>
          <w:tab/>
        </w:r>
        <w:r w:rsidR="002B2E41">
          <w:rPr>
            <w:noProof/>
            <w:webHidden/>
          </w:rPr>
          <w:fldChar w:fldCharType="begin"/>
        </w:r>
        <w:r w:rsidR="002B2E41">
          <w:rPr>
            <w:noProof/>
            <w:webHidden/>
          </w:rPr>
          <w:instrText xml:space="preserve"> PAGEREF _Toc222466705 \h </w:instrText>
        </w:r>
        <w:r w:rsidR="002B2E41">
          <w:rPr>
            <w:noProof/>
            <w:webHidden/>
          </w:rPr>
        </w:r>
        <w:r w:rsidR="002B2E41">
          <w:rPr>
            <w:noProof/>
            <w:webHidden/>
          </w:rPr>
          <w:fldChar w:fldCharType="separate"/>
        </w:r>
        <w:r w:rsidR="002B2E41">
          <w:rPr>
            <w:noProof/>
            <w:webHidden/>
          </w:rPr>
          <w:t>4</w:t>
        </w:r>
        <w:r w:rsidR="002B2E41">
          <w:rPr>
            <w:noProof/>
            <w:webHidden/>
          </w:rPr>
          <w:fldChar w:fldCharType="end"/>
        </w:r>
      </w:hyperlink>
    </w:p>
    <w:p w:rsidR="002B2E41" w:rsidRDefault="00F8098E">
      <w:pPr>
        <w:pStyle w:val="TOC2"/>
        <w:tabs>
          <w:tab w:val="right" w:leader="dot" w:pos="9628"/>
        </w:tabs>
        <w:rPr>
          <w:rFonts w:asciiTheme="minorHAnsi" w:eastAsiaTheme="minorEastAsia" w:hAnsiTheme="minorHAnsi" w:cstheme="minorBidi"/>
          <w:smallCaps w:val="0"/>
          <w:noProof/>
          <w:sz w:val="22"/>
          <w:szCs w:val="22"/>
          <w:lang w:eastAsia="en-GB"/>
        </w:rPr>
      </w:pPr>
      <w:hyperlink w:anchor="_Toc222466706" w:history="1">
        <w:r w:rsidR="002B2E41" w:rsidRPr="00307780">
          <w:rPr>
            <w:rStyle w:val="Hyperlink"/>
            <w:noProof/>
          </w:rPr>
          <w:t>3.3 Procedure for Handling Verbal Complaints Out of Hours</w:t>
        </w:r>
        <w:r w:rsidR="002B2E41">
          <w:rPr>
            <w:noProof/>
            <w:webHidden/>
          </w:rPr>
          <w:tab/>
        </w:r>
        <w:r w:rsidR="002B2E41">
          <w:rPr>
            <w:noProof/>
            <w:webHidden/>
          </w:rPr>
          <w:fldChar w:fldCharType="begin"/>
        </w:r>
        <w:r w:rsidR="002B2E41">
          <w:rPr>
            <w:noProof/>
            <w:webHidden/>
          </w:rPr>
          <w:instrText xml:space="preserve"> PAGEREF _Toc222466706 \h </w:instrText>
        </w:r>
        <w:r w:rsidR="002B2E41">
          <w:rPr>
            <w:noProof/>
            <w:webHidden/>
          </w:rPr>
        </w:r>
        <w:r w:rsidR="002B2E41">
          <w:rPr>
            <w:noProof/>
            <w:webHidden/>
          </w:rPr>
          <w:fldChar w:fldCharType="separate"/>
        </w:r>
        <w:r w:rsidR="002B2E41">
          <w:rPr>
            <w:noProof/>
            <w:webHidden/>
          </w:rPr>
          <w:t>4</w:t>
        </w:r>
        <w:r w:rsidR="002B2E41">
          <w:rPr>
            <w:noProof/>
            <w:webHidden/>
          </w:rPr>
          <w:fldChar w:fldCharType="end"/>
        </w:r>
      </w:hyperlink>
    </w:p>
    <w:p w:rsidR="002B2E41" w:rsidRDefault="00F8098E">
      <w:pPr>
        <w:pStyle w:val="TOC2"/>
        <w:tabs>
          <w:tab w:val="right" w:leader="dot" w:pos="9628"/>
        </w:tabs>
        <w:rPr>
          <w:rFonts w:asciiTheme="minorHAnsi" w:eastAsiaTheme="minorEastAsia" w:hAnsiTheme="minorHAnsi" w:cstheme="minorBidi"/>
          <w:smallCaps w:val="0"/>
          <w:noProof/>
          <w:sz w:val="22"/>
          <w:szCs w:val="22"/>
          <w:lang w:eastAsia="en-GB"/>
        </w:rPr>
      </w:pPr>
      <w:hyperlink w:anchor="_Toc222466707" w:history="1">
        <w:r w:rsidR="002B2E41" w:rsidRPr="00307780">
          <w:rPr>
            <w:rStyle w:val="Hyperlink"/>
            <w:noProof/>
          </w:rPr>
          <w:t>3.4 Written Complaints</w:t>
        </w:r>
        <w:r w:rsidR="002B2E41">
          <w:rPr>
            <w:noProof/>
            <w:webHidden/>
          </w:rPr>
          <w:tab/>
        </w:r>
        <w:r w:rsidR="002B2E41">
          <w:rPr>
            <w:noProof/>
            <w:webHidden/>
          </w:rPr>
          <w:fldChar w:fldCharType="begin"/>
        </w:r>
        <w:r w:rsidR="002B2E41">
          <w:rPr>
            <w:noProof/>
            <w:webHidden/>
          </w:rPr>
          <w:instrText xml:space="preserve"> PAGEREF _Toc222466707 \h </w:instrText>
        </w:r>
        <w:r w:rsidR="002B2E41">
          <w:rPr>
            <w:noProof/>
            <w:webHidden/>
          </w:rPr>
        </w:r>
        <w:r w:rsidR="002B2E41">
          <w:rPr>
            <w:noProof/>
            <w:webHidden/>
          </w:rPr>
          <w:fldChar w:fldCharType="separate"/>
        </w:r>
        <w:r w:rsidR="002B2E41">
          <w:rPr>
            <w:noProof/>
            <w:webHidden/>
          </w:rPr>
          <w:t>4</w:t>
        </w:r>
        <w:r w:rsidR="002B2E41">
          <w:rPr>
            <w:noProof/>
            <w:webHidden/>
          </w:rPr>
          <w:fldChar w:fldCharType="end"/>
        </w:r>
      </w:hyperlink>
    </w:p>
    <w:p w:rsidR="002B2E41" w:rsidRDefault="00F8098E">
      <w:pPr>
        <w:pStyle w:val="TOC2"/>
        <w:tabs>
          <w:tab w:val="right" w:leader="dot" w:pos="9628"/>
        </w:tabs>
        <w:rPr>
          <w:rFonts w:asciiTheme="minorHAnsi" w:eastAsiaTheme="minorEastAsia" w:hAnsiTheme="minorHAnsi" w:cstheme="minorBidi"/>
          <w:smallCaps w:val="0"/>
          <w:noProof/>
          <w:sz w:val="22"/>
          <w:szCs w:val="22"/>
          <w:lang w:eastAsia="en-GB"/>
        </w:rPr>
      </w:pPr>
      <w:hyperlink w:anchor="_Toc222466708" w:history="1">
        <w:r w:rsidR="002B2E41" w:rsidRPr="00307780">
          <w:rPr>
            <w:rStyle w:val="Hyperlink"/>
            <w:noProof/>
          </w:rPr>
          <w:t>3.5 Complaint Acknowledgement and Conclusion</w:t>
        </w:r>
        <w:r w:rsidR="002B2E41">
          <w:rPr>
            <w:noProof/>
            <w:webHidden/>
          </w:rPr>
          <w:tab/>
        </w:r>
        <w:r w:rsidR="002B2E41">
          <w:rPr>
            <w:noProof/>
            <w:webHidden/>
          </w:rPr>
          <w:fldChar w:fldCharType="begin"/>
        </w:r>
        <w:r w:rsidR="002B2E41">
          <w:rPr>
            <w:noProof/>
            <w:webHidden/>
          </w:rPr>
          <w:instrText xml:space="preserve"> PAGEREF _Toc222466708 \h </w:instrText>
        </w:r>
        <w:r w:rsidR="002B2E41">
          <w:rPr>
            <w:noProof/>
            <w:webHidden/>
          </w:rPr>
        </w:r>
        <w:r w:rsidR="002B2E41">
          <w:rPr>
            <w:noProof/>
            <w:webHidden/>
          </w:rPr>
          <w:fldChar w:fldCharType="separate"/>
        </w:r>
        <w:r w:rsidR="002B2E41">
          <w:rPr>
            <w:noProof/>
            <w:webHidden/>
          </w:rPr>
          <w:t>4</w:t>
        </w:r>
        <w:r w:rsidR="002B2E41">
          <w:rPr>
            <w:noProof/>
            <w:webHidden/>
          </w:rPr>
          <w:fldChar w:fldCharType="end"/>
        </w:r>
      </w:hyperlink>
    </w:p>
    <w:p w:rsidR="002B2E41" w:rsidRDefault="00F8098E">
      <w:pPr>
        <w:pStyle w:val="TOC2"/>
        <w:tabs>
          <w:tab w:val="right" w:leader="dot" w:pos="9628"/>
        </w:tabs>
        <w:rPr>
          <w:rFonts w:asciiTheme="minorHAnsi" w:eastAsiaTheme="minorEastAsia" w:hAnsiTheme="minorHAnsi" w:cstheme="minorBidi"/>
          <w:smallCaps w:val="0"/>
          <w:noProof/>
          <w:sz w:val="22"/>
          <w:szCs w:val="22"/>
          <w:lang w:eastAsia="en-GB"/>
        </w:rPr>
      </w:pPr>
      <w:hyperlink w:anchor="_Toc222466709" w:history="1">
        <w:r w:rsidR="002B2E41" w:rsidRPr="00307780">
          <w:rPr>
            <w:rStyle w:val="Hyperlink"/>
            <w:noProof/>
          </w:rPr>
          <w:t>3.6 Complaint Review</w:t>
        </w:r>
        <w:r w:rsidR="002B2E41">
          <w:rPr>
            <w:noProof/>
            <w:webHidden/>
          </w:rPr>
          <w:tab/>
        </w:r>
        <w:r w:rsidR="002B2E41">
          <w:rPr>
            <w:noProof/>
            <w:webHidden/>
          </w:rPr>
          <w:fldChar w:fldCharType="begin"/>
        </w:r>
        <w:r w:rsidR="002B2E41">
          <w:rPr>
            <w:noProof/>
            <w:webHidden/>
          </w:rPr>
          <w:instrText xml:space="preserve"> PAGEREF _Toc222466709 \h </w:instrText>
        </w:r>
        <w:r w:rsidR="002B2E41">
          <w:rPr>
            <w:noProof/>
            <w:webHidden/>
          </w:rPr>
        </w:r>
        <w:r w:rsidR="002B2E41">
          <w:rPr>
            <w:noProof/>
            <w:webHidden/>
          </w:rPr>
          <w:fldChar w:fldCharType="separate"/>
        </w:r>
        <w:r w:rsidR="002B2E41">
          <w:rPr>
            <w:noProof/>
            <w:webHidden/>
          </w:rPr>
          <w:t>4</w:t>
        </w:r>
        <w:r w:rsidR="002B2E41">
          <w:rPr>
            <w:noProof/>
            <w:webHidden/>
          </w:rPr>
          <w:fldChar w:fldCharType="end"/>
        </w:r>
      </w:hyperlink>
    </w:p>
    <w:p w:rsidR="002B2E41" w:rsidRDefault="00F8098E">
      <w:pPr>
        <w:pStyle w:val="TOC1"/>
        <w:tabs>
          <w:tab w:val="right" w:leader="dot" w:pos="9628"/>
        </w:tabs>
        <w:rPr>
          <w:rFonts w:asciiTheme="minorHAnsi" w:eastAsiaTheme="minorEastAsia" w:hAnsiTheme="minorHAnsi" w:cstheme="minorBidi"/>
          <w:b w:val="0"/>
          <w:bCs w:val="0"/>
          <w:caps w:val="0"/>
          <w:noProof/>
          <w:sz w:val="22"/>
          <w:szCs w:val="22"/>
          <w:lang w:eastAsia="en-GB"/>
        </w:rPr>
      </w:pPr>
      <w:hyperlink w:anchor="_Toc222466710" w:history="1">
        <w:r w:rsidR="002B2E41" w:rsidRPr="00307780">
          <w:rPr>
            <w:rStyle w:val="Hyperlink"/>
            <w:noProof/>
          </w:rPr>
          <w:t>4.0 Complaints Reporting</w:t>
        </w:r>
        <w:r w:rsidR="002B2E41">
          <w:rPr>
            <w:noProof/>
            <w:webHidden/>
          </w:rPr>
          <w:tab/>
        </w:r>
        <w:r w:rsidR="002B2E41">
          <w:rPr>
            <w:noProof/>
            <w:webHidden/>
          </w:rPr>
          <w:fldChar w:fldCharType="begin"/>
        </w:r>
        <w:r w:rsidR="002B2E41">
          <w:rPr>
            <w:noProof/>
            <w:webHidden/>
          </w:rPr>
          <w:instrText xml:space="preserve"> PAGEREF _Toc222466710 \h </w:instrText>
        </w:r>
        <w:r w:rsidR="002B2E41">
          <w:rPr>
            <w:noProof/>
            <w:webHidden/>
          </w:rPr>
        </w:r>
        <w:r w:rsidR="002B2E41">
          <w:rPr>
            <w:noProof/>
            <w:webHidden/>
          </w:rPr>
          <w:fldChar w:fldCharType="separate"/>
        </w:r>
        <w:r w:rsidR="002B2E41">
          <w:rPr>
            <w:noProof/>
            <w:webHidden/>
          </w:rPr>
          <w:t>5</w:t>
        </w:r>
        <w:r w:rsidR="002B2E41">
          <w:rPr>
            <w:noProof/>
            <w:webHidden/>
          </w:rPr>
          <w:fldChar w:fldCharType="end"/>
        </w:r>
      </w:hyperlink>
    </w:p>
    <w:p w:rsidR="002B2E41" w:rsidRDefault="00F8098E">
      <w:pPr>
        <w:pStyle w:val="TOC2"/>
        <w:tabs>
          <w:tab w:val="right" w:leader="dot" w:pos="9628"/>
        </w:tabs>
        <w:rPr>
          <w:rFonts w:asciiTheme="minorHAnsi" w:eastAsiaTheme="minorEastAsia" w:hAnsiTheme="minorHAnsi" w:cstheme="minorBidi"/>
          <w:smallCaps w:val="0"/>
          <w:noProof/>
          <w:sz w:val="22"/>
          <w:szCs w:val="22"/>
          <w:lang w:eastAsia="en-GB"/>
        </w:rPr>
      </w:pPr>
      <w:hyperlink w:anchor="_Toc222466711" w:history="1">
        <w:r w:rsidR="002B2E41" w:rsidRPr="00307780">
          <w:rPr>
            <w:rStyle w:val="Hyperlink"/>
            <w:noProof/>
          </w:rPr>
          <w:t>4.1 Reporting via Q-Pulse</w:t>
        </w:r>
        <w:r w:rsidR="002B2E41">
          <w:rPr>
            <w:noProof/>
            <w:webHidden/>
          </w:rPr>
          <w:tab/>
        </w:r>
        <w:r w:rsidR="002B2E41">
          <w:rPr>
            <w:noProof/>
            <w:webHidden/>
          </w:rPr>
          <w:fldChar w:fldCharType="begin"/>
        </w:r>
        <w:r w:rsidR="002B2E41">
          <w:rPr>
            <w:noProof/>
            <w:webHidden/>
          </w:rPr>
          <w:instrText xml:space="preserve"> PAGEREF _Toc222466711 \h </w:instrText>
        </w:r>
        <w:r w:rsidR="002B2E41">
          <w:rPr>
            <w:noProof/>
            <w:webHidden/>
          </w:rPr>
        </w:r>
        <w:r w:rsidR="002B2E41">
          <w:rPr>
            <w:noProof/>
            <w:webHidden/>
          </w:rPr>
          <w:fldChar w:fldCharType="separate"/>
        </w:r>
        <w:r w:rsidR="002B2E41">
          <w:rPr>
            <w:noProof/>
            <w:webHidden/>
          </w:rPr>
          <w:t>5</w:t>
        </w:r>
        <w:r w:rsidR="002B2E41">
          <w:rPr>
            <w:noProof/>
            <w:webHidden/>
          </w:rPr>
          <w:fldChar w:fldCharType="end"/>
        </w:r>
      </w:hyperlink>
    </w:p>
    <w:p w:rsidR="002B2E41" w:rsidRDefault="00F8098E">
      <w:pPr>
        <w:pStyle w:val="TOC2"/>
        <w:tabs>
          <w:tab w:val="right" w:leader="dot" w:pos="9628"/>
        </w:tabs>
        <w:rPr>
          <w:rFonts w:asciiTheme="minorHAnsi" w:eastAsiaTheme="minorEastAsia" w:hAnsiTheme="minorHAnsi" w:cstheme="minorBidi"/>
          <w:smallCaps w:val="0"/>
          <w:noProof/>
          <w:sz w:val="22"/>
          <w:szCs w:val="22"/>
          <w:lang w:eastAsia="en-GB"/>
        </w:rPr>
      </w:pPr>
      <w:hyperlink w:anchor="_Toc222466712" w:history="1">
        <w:r w:rsidR="002B2E41" w:rsidRPr="00307780">
          <w:rPr>
            <w:rStyle w:val="Hyperlink"/>
            <w:noProof/>
          </w:rPr>
          <w:t>4.2 Reporting via DATIX (Incident Management System) and Significant Adverse Events (SAE)</w:t>
        </w:r>
        <w:r w:rsidR="002B2E41">
          <w:rPr>
            <w:noProof/>
            <w:webHidden/>
          </w:rPr>
          <w:tab/>
        </w:r>
        <w:r w:rsidR="002B2E41">
          <w:rPr>
            <w:noProof/>
            <w:webHidden/>
          </w:rPr>
          <w:fldChar w:fldCharType="begin"/>
        </w:r>
        <w:r w:rsidR="002B2E41">
          <w:rPr>
            <w:noProof/>
            <w:webHidden/>
          </w:rPr>
          <w:instrText xml:space="preserve"> PAGEREF _Toc222466712 \h </w:instrText>
        </w:r>
        <w:r w:rsidR="002B2E41">
          <w:rPr>
            <w:noProof/>
            <w:webHidden/>
          </w:rPr>
        </w:r>
        <w:r w:rsidR="002B2E41">
          <w:rPr>
            <w:noProof/>
            <w:webHidden/>
          </w:rPr>
          <w:fldChar w:fldCharType="separate"/>
        </w:r>
        <w:r w:rsidR="002B2E41">
          <w:rPr>
            <w:noProof/>
            <w:webHidden/>
          </w:rPr>
          <w:t>6</w:t>
        </w:r>
        <w:r w:rsidR="002B2E41">
          <w:rPr>
            <w:noProof/>
            <w:webHidden/>
          </w:rPr>
          <w:fldChar w:fldCharType="end"/>
        </w:r>
      </w:hyperlink>
    </w:p>
    <w:p w:rsidR="00A55DBD" w:rsidRPr="00FB6EDE" w:rsidRDefault="00F862AA" w:rsidP="00342F08">
      <w:pPr>
        <w:rPr>
          <w:rFonts w:ascii="Arial" w:hAnsi="Arial" w:cs="Arial"/>
          <w:b/>
        </w:rPr>
      </w:pPr>
      <w:r w:rsidRPr="00F72BE0">
        <w:rPr>
          <w:rFonts w:ascii="Arial" w:hAnsi="Arial" w:cs="Arial"/>
          <w:b/>
        </w:rPr>
        <w:fldChar w:fldCharType="end"/>
      </w:r>
    </w:p>
    <w:p w:rsidR="00FC431D" w:rsidRPr="00120E1F" w:rsidRDefault="00FC431D" w:rsidP="00FC431D">
      <w:pPr>
        <w:pStyle w:val="Heading1"/>
        <w:numPr>
          <w:ilvl w:val="0"/>
          <w:numId w:val="8"/>
        </w:numPr>
        <w:spacing w:line="240" w:lineRule="auto"/>
        <w:jc w:val="both"/>
      </w:pPr>
      <w:bookmarkStart w:id="0" w:name="_Toc97560747"/>
      <w:bookmarkStart w:id="1" w:name="_Toc222466699"/>
      <w:bookmarkStart w:id="2" w:name="_Toc77250273"/>
      <w:bookmarkStart w:id="3" w:name="_Toc79819682"/>
      <w:bookmarkStart w:id="4" w:name="_Toc79819704"/>
      <w:bookmarkStart w:id="5" w:name="_Toc80084357"/>
      <w:bookmarkStart w:id="6" w:name="_Toc96462579"/>
      <w:bookmarkStart w:id="7" w:name="_Toc96467905"/>
      <w:bookmarkStart w:id="8" w:name="_Toc96493872"/>
      <w:r w:rsidRPr="00120E1F">
        <w:t>Context setting – NHS Complaints Procedure</w:t>
      </w:r>
      <w:bookmarkEnd w:id="0"/>
      <w:bookmarkEnd w:id="1"/>
    </w:p>
    <w:p w:rsidR="00FC431D" w:rsidRPr="00120E1F" w:rsidRDefault="00FC431D" w:rsidP="00FB6EDE">
      <w:pPr>
        <w:spacing w:before="240"/>
        <w:jc w:val="both"/>
        <w:rPr>
          <w:rFonts w:ascii="Arial" w:hAnsi="Arial" w:cs="Arial"/>
          <w:sz w:val="20"/>
          <w:szCs w:val="20"/>
        </w:rPr>
      </w:pPr>
      <w:r w:rsidRPr="00120E1F">
        <w:rPr>
          <w:rFonts w:ascii="Arial" w:hAnsi="Arial" w:cs="Arial"/>
          <w:sz w:val="20"/>
          <w:szCs w:val="20"/>
        </w:rPr>
        <w:t>New NHS Guidance for Complaints, to complement the Nat</w:t>
      </w:r>
      <w:bookmarkStart w:id="9" w:name="_GoBack"/>
      <w:bookmarkEnd w:id="9"/>
      <w:r w:rsidRPr="00120E1F">
        <w:rPr>
          <w:rFonts w:ascii="Arial" w:hAnsi="Arial" w:cs="Arial"/>
          <w:sz w:val="20"/>
          <w:szCs w:val="20"/>
        </w:rPr>
        <w:t>ional Health Service (Complaints) Regulations 2004 No.1768, which, along with the Health and Social Care (Community Health and Standards) Act 2003, provide the statutory framework for the NHS complaints procedure. The Regulations came into force in July 2004. The intention had been to implement the reformed complaints procedure in full, but following an approach by the Shipman Inquiry, Ministers chose to incorporate a phased implementation of the Complaints Regulations in 2005, allowing full and proper consideration to recommendations made by the Shipman Inquiry.</w:t>
      </w:r>
    </w:p>
    <w:p w:rsidR="00FC431D" w:rsidRPr="00120E1F" w:rsidRDefault="00FC431D" w:rsidP="00FC431D">
      <w:pPr>
        <w:jc w:val="both"/>
        <w:rPr>
          <w:rFonts w:ascii="Arial" w:hAnsi="Arial" w:cs="Arial"/>
          <w:sz w:val="20"/>
          <w:szCs w:val="20"/>
        </w:rPr>
      </w:pPr>
      <w:r w:rsidRPr="00120E1F">
        <w:rPr>
          <w:rFonts w:ascii="Arial" w:hAnsi="Arial" w:cs="Arial"/>
          <w:sz w:val="20"/>
          <w:szCs w:val="20"/>
        </w:rPr>
        <w:t>As far as ‘Local Resolution’ goes, the Complaints Regulations consolidate and rationalise the requirements set out in the various sets of Directions issued since the NHS Complaints Policy of 1996. This means that ‘Local Resolution’ remains broadly unchanged for NHS bodies and the new guidance updates information provided in the existing guidance as well as expanding on the Regulations.</w:t>
      </w:r>
    </w:p>
    <w:p w:rsidR="00FC431D" w:rsidRPr="00120E1F" w:rsidRDefault="00FC431D" w:rsidP="00FC431D">
      <w:pPr>
        <w:jc w:val="both"/>
        <w:rPr>
          <w:rFonts w:ascii="Arial" w:hAnsi="Arial" w:cs="Arial"/>
          <w:sz w:val="20"/>
          <w:szCs w:val="20"/>
        </w:rPr>
      </w:pPr>
      <w:r w:rsidRPr="00120E1F">
        <w:rPr>
          <w:rFonts w:ascii="Arial" w:hAnsi="Arial" w:cs="Arial"/>
          <w:sz w:val="20"/>
          <w:szCs w:val="20"/>
        </w:rPr>
        <w:t>The Key objectives of the NHS</w:t>
      </w:r>
      <w:r w:rsidR="0074676C">
        <w:rPr>
          <w:rFonts w:ascii="Arial" w:hAnsi="Arial" w:cs="Arial"/>
          <w:sz w:val="20"/>
          <w:szCs w:val="20"/>
        </w:rPr>
        <w:t xml:space="preserve"> Scotland Complaints Handling</w:t>
      </w:r>
      <w:r w:rsidRPr="00120E1F">
        <w:rPr>
          <w:rFonts w:ascii="Arial" w:hAnsi="Arial" w:cs="Arial"/>
          <w:sz w:val="20"/>
          <w:szCs w:val="20"/>
        </w:rPr>
        <w:t xml:space="preserve"> Procedure include:</w:t>
      </w:r>
    </w:p>
    <w:p w:rsidR="00FC431D" w:rsidRPr="00120E1F" w:rsidRDefault="00FC431D" w:rsidP="00CC1545">
      <w:pPr>
        <w:numPr>
          <w:ilvl w:val="0"/>
          <w:numId w:val="3"/>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Ease of access for patients and service complainants,</w:t>
      </w:r>
    </w:p>
    <w:p w:rsidR="00FC431D" w:rsidRPr="00120E1F" w:rsidRDefault="00FC431D" w:rsidP="00CC1545">
      <w:pPr>
        <w:numPr>
          <w:ilvl w:val="0"/>
          <w:numId w:val="3"/>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A rapid, simple, and transparent process,</w:t>
      </w:r>
    </w:p>
    <w:p w:rsidR="00FC431D" w:rsidRPr="00120E1F" w:rsidRDefault="00FC431D" w:rsidP="00CC1545">
      <w:pPr>
        <w:numPr>
          <w:ilvl w:val="0"/>
          <w:numId w:val="3"/>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A system that ensures service improvement following complaints,</w:t>
      </w:r>
    </w:p>
    <w:p w:rsidR="00FC431D" w:rsidRPr="00120E1F" w:rsidRDefault="00FC431D" w:rsidP="00CC1545">
      <w:pPr>
        <w:numPr>
          <w:ilvl w:val="0"/>
          <w:numId w:val="3"/>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Fairness for both staff and complainants,</w:t>
      </w:r>
    </w:p>
    <w:p w:rsidR="00FC431D" w:rsidRDefault="00FC431D" w:rsidP="00CC1545">
      <w:pPr>
        <w:numPr>
          <w:ilvl w:val="0"/>
          <w:numId w:val="3"/>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Separation of complaints from disciplinary actions.</w:t>
      </w:r>
    </w:p>
    <w:p w:rsidR="001A662F" w:rsidRPr="00120E1F" w:rsidRDefault="00C968B5" w:rsidP="001A662F">
      <w:pPr>
        <w:numPr>
          <w:ilvl w:val="0"/>
          <w:numId w:val="14"/>
        </w:numPr>
        <w:tabs>
          <w:tab w:val="clear" w:pos="720"/>
          <w:tab w:val="num" w:pos="360"/>
        </w:tabs>
        <w:ind w:left="360"/>
        <w:jc w:val="both"/>
        <w:rPr>
          <w:rFonts w:ascii="Arial" w:hAnsi="Arial" w:cs="Arial"/>
          <w:sz w:val="20"/>
          <w:szCs w:val="20"/>
        </w:rPr>
      </w:pPr>
      <w:r>
        <w:rPr>
          <w:rFonts w:ascii="Arial" w:hAnsi="Arial" w:cs="Arial"/>
          <w:sz w:val="20"/>
          <w:szCs w:val="20"/>
        </w:rPr>
        <w:t>If complaints can</w:t>
      </w:r>
      <w:r w:rsidR="001A662F" w:rsidRPr="00120E1F">
        <w:rPr>
          <w:rFonts w:ascii="Arial" w:hAnsi="Arial" w:cs="Arial"/>
          <w:sz w:val="20"/>
          <w:szCs w:val="20"/>
        </w:rPr>
        <w:t>not be resolved immediately by the service provider, the complainant has the right to seek independent re</w:t>
      </w:r>
      <w:r w:rsidR="001A662F">
        <w:rPr>
          <w:rFonts w:ascii="Arial" w:hAnsi="Arial" w:cs="Arial"/>
          <w:sz w:val="20"/>
          <w:szCs w:val="20"/>
        </w:rPr>
        <w:t xml:space="preserve">view </w:t>
      </w:r>
      <w:r w:rsidR="001A662F" w:rsidRPr="00120E1F">
        <w:rPr>
          <w:rFonts w:ascii="Arial" w:hAnsi="Arial" w:cs="Arial"/>
          <w:sz w:val="20"/>
          <w:szCs w:val="20"/>
        </w:rPr>
        <w:t>including the appointment</w:t>
      </w:r>
      <w:r w:rsidR="001A662F">
        <w:rPr>
          <w:rFonts w:ascii="Arial" w:hAnsi="Arial" w:cs="Arial"/>
          <w:sz w:val="20"/>
          <w:szCs w:val="20"/>
        </w:rPr>
        <w:t>, where necessary,</w:t>
      </w:r>
      <w:r w:rsidR="001A662F" w:rsidRPr="00120E1F">
        <w:rPr>
          <w:rFonts w:ascii="Arial" w:hAnsi="Arial" w:cs="Arial"/>
          <w:sz w:val="20"/>
          <w:szCs w:val="20"/>
        </w:rPr>
        <w:t xml:space="preserve"> of a Trustee (Complaints Convenor) and Review Panel</w:t>
      </w:r>
    </w:p>
    <w:p w:rsidR="00FC431D" w:rsidRPr="00120E1F" w:rsidRDefault="00FC431D" w:rsidP="00FC431D">
      <w:pPr>
        <w:jc w:val="both"/>
        <w:rPr>
          <w:rFonts w:ascii="Arial" w:hAnsi="Arial" w:cs="Arial"/>
          <w:sz w:val="20"/>
          <w:szCs w:val="20"/>
        </w:rPr>
      </w:pPr>
      <w:r w:rsidRPr="00120E1F">
        <w:rPr>
          <w:rFonts w:ascii="Arial" w:hAnsi="Arial" w:cs="Arial"/>
          <w:sz w:val="20"/>
          <w:szCs w:val="20"/>
        </w:rPr>
        <w:t>The NHS Complaints Procedure incorporates two distinct principles:</w:t>
      </w:r>
    </w:p>
    <w:p w:rsidR="00FC431D" w:rsidRPr="001A662F" w:rsidRDefault="00FC431D" w:rsidP="001A662F">
      <w:pPr>
        <w:numPr>
          <w:ilvl w:val="0"/>
          <w:numId w:val="3"/>
        </w:numPr>
        <w:tabs>
          <w:tab w:val="clear" w:pos="720"/>
          <w:tab w:val="num" w:pos="330"/>
        </w:tabs>
        <w:spacing w:after="120" w:line="240" w:lineRule="auto"/>
        <w:ind w:left="330" w:hanging="330"/>
        <w:jc w:val="both"/>
        <w:rPr>
          <w:rFonts w:ascii="Arial" w:hAnsi="Arial" w:cs="Arial"/>
          <w:sz w:val="20"/>
          <w:szCs w:val="20"/>
        </w:rPr>
      </w:pPr>
      <w:bookmarkStart w:id="10" w:name="_Toc97560748"/>
      <w:r w:rsidRPr="001A662F">
        <w:rPr>
          <w:rFonts w:ascii="Arial" w:hAnsi="Arial" w:cs="Arial"/>
          <w:b/>
          <w:sz w:val="20"/>
          <w:szCs w:val="20"/>
        </w:rPr>
        <w:lastRenderedPageBreak/>
        <w:t>Local Resolution</w:t>
      </w:r>
      <w:bookmarkEnd w:id="10"/>
      <w:r w:rsidR="001A662F" w:rsidRPr="001A662F">
        <w:rPr>
          <w:rFonts w:ascii="Arial" w:hAnsi="Arial" w:cs="Arial"/>
          <w:sz w:val="20"/>
          <w:szCs w:val="20"/>
        </w:rPr>
        <w:t xml:space="preserve"> - </w:t>
      </w:r>
      <w:r w:rsidRPr="001A662F">
        <w:rPr>
          <w:rFonts w:ascii="Arial" w:hAnsi="Arial" w:cs="Arial"/>
          <w:sz w:val="20"/>
          <w:szCs w:val="20"/>
        </w:rPr>
        <w:t xml:space="preserve">The principle objective of local resolution is to provide the fullest opportunity for investigation and resolve of complaints in an open, fair and conciliatory manner. On receipt of complaint, written or verbal, the service provider shall attempt to resolve any issue as quickly as is possible. This process shall include, where possible, an immediate response in person by telephone, to be followed by, investigation based upon local (Trust) policy and procedures.  </w:t>
      </w:r>
    </w:p>
    <w:p w:rsidR="00FC431D" w:rsidRDefault="00FC431D" w:rsidP="001A662F">
      <w:pPr>
        <w:numPr>
          <w:ilvl w:val="0"/>
          <w:numId w:val="3"/>
        </w:numPr>
        <w:tabs>
          <w:tab w:val="clear" w:pos="720"/>
          <w:tab w:val="num" w:pos="330"/>
        </w:tabs>
        <w:spacing w:after="120" w:line="240" w:lineRule="auto"/>
        <w:ind w:left="330" w:hanging="330"/>
        <w:jc w:val="both"/>
        <w:rPr>
          <w:rFonts w:ascii="Arial" w:hAnsi="Arial" w:cs="Arial"/>
          <w:sz w:val="20"/>
          <w:szCs w:val="20"/>
        </w:rPr>
      </w:pPr>
      <w:bookmarkStart w:id="11" w:name="_Toc97560749"/>
      <w:r w:rsidRPr="001A662F">
        <w:rPr>
          <w:rFonts w:ascii="Arial" w:hAnsi="Arial" w:cs="Arial"/>
          <w:b/>
          <w:sz w:val="20"/>
          <w:szCs w:val="20"/>
        </w:rPr>
        <w:t>Independent Review</w:t>
      </w:r>
      <w:bookmarkEnd w:id="11"/>
      <w:r w:rsidR="001A662F">
        <w:rPr>
          <w:rFonts w:ascii="Arial" w:hAnsi="Arial" w:cs="Arial"/>
          <w:b/>
          <w:sz w:val="20"/>
          <w:szCs w:val="20"/>
        </w:rPr>
        <w:t xml:space="preserve"> - </w:t>
      </w:r>
      <w:r w:rsidR="00C968B5">
        <w:rPr>
          <w:rFonts w:ascii="Arial" w:hAnsi="Arial" w:cs="Arial"/>
          <w:sz w:val="20"/>
          <w:szCs w:val="20"/>
        </w:rPr>
        <w:t>If complaints can</w:t>
      </w:r>
      <w:r w:rsidRPr="001A662F">
        <w:rPr>
          <w:rFonts w:ascii="Arial" w:hAnsi="Arial" w:cs="Arial"/>
          <w:sz w:val="20"/>
          <w:szCs w:val="20"/>
        </w:rPr>
        <w:t>not be resolved immediately by the service provider, the complainant has the option of seeking further review. This review may involve the collation of a panel to reconsider the complaint.</w:t>
      </w:r>
    </w:p>
    <w:p w:rsidR="000D10F0" w:rsidRDefault="000D10F0" w:rsidP="00621B5E">
      <w:pPr>
        <w:spacing w:before="20" w:after="20"/>
        <w:jc w:val="both"/>
        <w:rPr>
          <w:rFonts w:ascii="Arial" w:hAnsi="Arial" w:cs="Arial"/>
          <w:sz w:val="20"/>
          <w:szCs w:val="20"/>
        </w:rPr>
      </w:pPr>
    </w:p>
    <w:p w:rsidR="00621B5E" w:rsidRDefault="000D10F0" w:rsidP="00621B5E">
      <w:pPr>
        <w:spacing w:before="20" w:after="20"/>
        <w:jc w:val="both"/>
        <w:rPr>
          <w:rFonts w:ascii="Arial" w:hAnsi="Arial" w:cs="Arial"/>
          <w:sz w:val="20"/>
          <w:szCs w:val="20"/>
        </w:rPr>
      </w:pPr>
      <w:r>
        <w:rPr>
          <w:rFonts w:ascii="Arial" w:hAnsi="Arial" w:cs="Arial"/>
          <w:sz w:val="20"/>
          <w:szCs w:val="20"/>
        </w:rPr>
        <w:t>Further a</w:t>
      </w:r>
      <w:r w:rsidR="00621B5E" w:rsidRPr="00621B5E">
        <w:rPr>
          <w:rFonts w:ascii="Arial" w:hAnsi="Arial" w:cs="Arial"/>
          <w:sz w:val="20"/>
          <w:szCs w:val="20"/>
        </w:rPr>
        <w:t>dvice on how</w:t>
      </w:r>
      <w:r>
        <w:rPr>
          <w:rFonts w:ascii="Arial" w:hAnsi="Arial" w:cs="Arial"/>
          <w:sz w:val="20"/>
          <w:szCs w:val="20"/>
        </w:rPr>
        <w:t xml:space="preserve"> to complain about NHS Scotland services is detailed in the web link below:</w:t>
      </w:r>
    </w:p>
    <w:p w:rsidR="00FB6EDE" w:rsidRDefault="00FB6EDE" w:rsidP="00621B5E">
      <w:pPr>
        <w:spacing w:before="20" w:after="20"/>
        <w:jc w:val="both"/>
        <w:rPr>
          <w:rFonts w:ascii="Arial" w:hAnsi="Arial" w:cs="Arial"/>
          <w:sz w:val="20"/>
          <w:szCs w:val="20"/>
        </w:rPr>
      </w:pPr>
    </w:p>
    <w:p w:rsidR="000D10F0" w:rsidRDefault="00F8098E" w:rsidP="00621B5E">
      <w:pPr>
        <w:spacing w:before="20" w:after="20"/>
        <w:jc w:val="both"/>
        <w:rPr>
          <w:rFonts w:ascii="Arial" w:hAnsi="Arial" w:cs="Arial"/>
          <w:sz w:val="20"/>
          <w:szCs w:val="20"/>
        </w:rPr>
      </w:pPr>
      <w:hyperlink r:id="rId8" w:history="1">
        <w:r w:rsidR="00FB6EDE">
          <w:rPr>
            <w:rStyle w:val="Hyperlink"/>
          </w:rPr>
          <w:t>Complain about an NHS service - mygov.scot</w:t>
        </w:r>
      </w:hyperlink>
    </w:p>
    <w:p w:rsidR="00FC431D" w:rsidRPr="00120E1F" w:rsidRDefault="00120E1F" w:rsidP="00FC431D">
      <w:pPr>
        <w:pStyle w:val="Heading1"/>
        <w:numPr>
          <w:ilvl w:val="0"/>
          <w:numId w:val="8"/>
        </w:numPr>
        <w:spacing w:line="240" w:lineRule="auto"/>
        <w:jc w:val="both"/>
      </w:pPr>
      <w:bookmarkStart w:id="12" w:name="_Toc97560750"/>
      <w:bookmarkStart w:id="13" w:name="_Toc222466700"/>
      <w:r>
        <w:t>NHSGGC</w:t>
      </w:r>
      <w:r w:rsidR="00FC431D" w:rsidRPr="00120E1F">
        <w:t xml:space="preserve"> </w:t>
      </w:r>
      <w:r>
        <w:t>P</w:t>
      </w:r>
      <w:r w:rsidR="00FC431D" w:rsidRPr="00120E1F">
        <w:t>olicy</w:t>
      </w:r>
      <w:bookmarkEnd w:id="12"/>
      <w:bookmarkEnd w:id="13"/>
    </w:p>
    <w:p w:rsidR="00FC431D" w:rsidRDefault="00FC431D" w:rsidP="00FC431D">
      <w:pPr>
        <w:jc w:val="both"/>
        <w:rPr>
          <w:rFonts w:ascii="Arial" w:hAnsi="Arial" w:cs="Arial"/>
          <w:sz w:val="20"/>
          <w:szCs w:val="20"/>
        </w:rPr>
      </w:pPr>
      <w:r w:rsidRPr="00120E1F">
        <w:rPr>
          <w:rFonts w:ascii="Arial" w:hAnsi="Arial" w:cs="Arial"/>
          <w:sz w:val="20"/>
          <w:szCs w:val="20"/>
        </w:rPr>
        <w:t xml:space="preserve">The </w:t>
      </w:r>
      <w:r w:rsidR="00120E1F">
        <w:rPr>
          <w:rFonts w:ascii="Arial" w:hAnsi="Arial" w:cs="Arial"/>
          <w:sz w:val="20"/>
          <w:szCs w:val="20"/>
        </w:rPr>
        <w:t>NHSGGC Complaints p</w:t>
      </w:r>
      <w:r w:rsidRPr="00120E1F">
        <w:rPr>
          <w:rFonts w:ascii="Arial" w:hAnsi="Arial" w:cs="Arial"/>
          <w:sz w:val="20"/>
          <w:szCs w:val="20"/>
        </w:rPr>
        <w:t>rocedure seeks to ensure, i</w:t>
      </w:r>
      <w:r w:rsidR="0061669E">
        <w:rPr>
          <w:rFonts w:ascii="Arial" w:hAnsi="Arial" w:cs="Arial"/>
          <w:sz w:val="20"/>
          <w:szCs w:val="20"/>
        </w:rPr>
        <w:t>n accordance with NHS Scotland Complaints Handling Procedure</w:t>
      </w:r>
      <w:r w:rsidRPr="00120E1F">
        <w:rPr>
          <w:rFonts w:ascii="Arial" w:hAnsi="Arial" w:cs="Arial"/>
          <w:sz w:val="20"/>
          <w:szCs w:val="20"/>
        </w:rPr>
        <w:t xml:space="preserve">, that complaints are handled thoroughly without delay, with the aim of satisfying the complainant whilst being fair and open with all those involved. The Trust acknowledges that there is a requirement to view complaints positively as a valuable contribution to service development and improvement. </w:t>
      </w:r>
    </w:p>
    <w:p w:rsidR="00367048" w:rsidRDefault="00367048" w:rsidP="00367048">
      <w:pPr>
        <w:pStyle w:val="BodyText"/>
        <w:spacing w:after="0"/>
        <w:jc w:val="both"/>
        <w:rPr>
          <w:rFonts w:ascii="Arial" w:hAnsi="Arial" w:cs="Arial"/>
          <w:sz w:val="20"/>
          <w:szCs w:val="20"/>
        </w:rPr>
      </w:pPr>
      <w:r>
        <w:rPr>
          <w:rFonts w:ascii="Arial" w:hAnsi="Arial" w:cs="Arial"/>
          <w:sz w:val="20"/>
          <w:szCs w:val="20"/>
        </w:rPr>
        <w:t>Complainants unhappy with</w:t>
      </w:r>
      <w:r w:rsidRPr="00367048">
        <w:rPr>
          <w:rFonts w:ascii="Arial" w:hAnsi="Arial" w:cs="Arial"/>
          <w:sz w:val="20"/>
          <w:szCs w:val="20"/>
        </w:rPr>
        <w:t xml:space="preserve"> the local response to </w:t>
      </w:r>
      <w:r>
        <w:rPr>
          <w:rFonts w:ascii="Arial" w:hAnsi="Arial" w:cs="Arial"/>
          <w:sz w:val="20"/>
          <w:szCs w:val="20"/>
        </w:rPr>
        <w:t>a</w:t>
      </w:r>
      <w:r w:rsidRPr="00367048">
        <w:rPr>
          <w:rFonts w:ascii="Arial" w:hAnsi="Arial" w:cs="Arial"/>
          <w:sz w:val="20"/>
          <w:szCs w:val="20"/>
        </w:rPr>
        <w:t xml:space="preserve"> complaint, or </w:t>
      </w:r>
      <w:r>
        <w:rPr>
          <w:rFonts w:ascii="Arial" w:hAnsi="Arial" w:cs="Arial"/>
          <w:sz w:val="20"/>
          <w:szCs w:val="20"/>
        </w:rPr>
        <w:t xml:space="preserve">where </w:t>
      </w:r>
      <w:r w:rsidRPr="00367048">
        <w:rPr>
          <w:rFonts w:ascii="Arial" w:hAnsi="Arial" w:cs="Arial"/>
          <w:sz w:val="20"/>
          <w:szCs w:val="20"/>
        </w:rPr>
        <w:t xml:space="preserve">they would prefer to discuss the matter with someone not directly involved with the issue, should </w:t>
      </w:r>
      <w:r>
        <w:rPr>
          <w:rFonts w:ascii="Arial" w:hAnsi="Arial" w:cs="Arial"/>
          <w:sz w:val="20"/>
          <w:szCs w:val="20"/>
        </w:rPr>
        <w:t xml:space="preserve">be directed to </w:t>
      </w:r>
      <w:r w:rsidR="000C6230">
        <w:rPr>
          <w:rFonts w:ascii="Arial" w:hAnsi="Arial" w:cs="Arial"/>
          <w:sz w:val="20"/>
          <w:szCs w:val="20"/>
        </w:rPr>
        <w:t>contact the Complaints Department.</w:t>
      </w:r>
      <w:r w:rsidR="00556B33">
        <w:rPr>
          <w:rFonts w:ascii="Arial" w:hAnsi="Arial" w:cs="Arial"/>
          <w:sz w:val="20"/>
          <w:szCs w:val="20"/>
        </w:rPr>
        <w:t xml:space="preserve"> Contact information is available at the web link below:</w:t>
      </w:r>
    </w:p>
    <w:p w:rsidR="00556B33" w:rsidRDefault="00556B33" w:rsidP="00367048">
      <w:pPr>
        <w:pStyle w:val="BodyText"/>
        <w:spacing w:after="0"/>
        <w:jc w:val="both"/>
        <w:rPr>
          <w:rFonts w:ascii="Arial" w:hAnsi="Arial" w:cs="Arial"/>
          <w:sz w:val="20"/>
          <w:szCs w:val="20"/>
        </w:rPr>
      </w:pPr>
    </w:p>
    <w:p w:rsidR="00556B33" w:rsidRPr="00367048" w:rsidRDefault="00F8098E" w:rsidP="00367048">
      <w:pPr>
        <w:pStyle w:val="BodyText"/>
        <w:spacing w:after="0"/>
        <w:jc w:val="both"/>
        <w:rPr>
          <w:rFonts w:ascii="Arial" w:hAnsi="Arial" w:cs="Arial"/>
          <w:sz w:val="20"/>
          <w:szCs w:val="20"/>
        </w:rPr>
      </w:pPr>
      <w:hyperlink r:id="rId9" w:history="1">
        <w:r w:rsidR="0061669E">
          <w:rPr>
            <w:rStyle w:val="Hyperlink"/>
          </w:rPr>
          <w:t>Complaints - NHSGGC</w:t>
        </w:r>
      </w:hyperlink>
    </w:p>
    <w:p w:rsidR="00FC431D" w:rsidRPr="00120E1F" w:rsidRDefault="00FC431D" w:rsidP="00FC431D">
      <w:pPr>
        <w:pStyle w:val="Heading2"/>
        <w:rPr>
          <w:i w:val="0"/>
        </w:rPr>
      </w:pPr>
      <w:bookmarkStart w:id="14" w:name="_Toc97560751"/>
      <w:bookmarkStart w:id="15" w:name="_Toc222466701"/>
      <w:r w:rsidRPr="00120E1F">
        <w:rPr>
          <w:i w:val="0"/>
        </w:rPr>
        <w:t>2.</w:t>
      </w:r>
      <w:r w:rsidR="00621B5E">
        <w:rPr>
          <w:i w:val="0"/>
        </w:rPr>
        <w:t>1</w:t>
      </w:r>
      <w:r w:rsidRPr="00120E1F">
        <w:rPr>
          <w:i w:val="0"/>
        </w:rPr>
        <w:t xml:space="preserve"> Definition of a Complaint</w:t>
      </w:r>
      <w:bookmarkEnd w:id="14"/>
      <w:bookmarkEnd w:id="15"/>
    </w:p>
    <w:p w:rsidR="00FC431D" w:rsidRPr="00120E1F" w:rsidRDefault="00FC431D" w:rsidP="00FC431D">
      <w:pPr>
        <w:jc w:val="both"/>
        <w:rPr>
          <w:rFonts w:ascii="Arial" w:hAnsi="Arial" w:cs="Arial"/>
          <w:sz w:val="20"/>
          <w:szCs w:val="20"/>
        </w:rPr>
      </w:pPr>
      <w:r w:rsidRPr="00120E1F">
        <w:rPr>
          <w:rFonts w:ascii="Arial" w:hAnsi="Arial" w:cs="Arial"/>
          <w:sz w:val="20"/>
          <w:szCs w:val="20"/>
        </w:rPr>
        <w:t xml:space="preserve">A complaint is defined as an expression of dissatisfaction regarding any matter, to include facilities, environment, care </w:t>
      </w:r>
      <w:r w:rsidR="0095040C">
        <w:rPr>
          <w:rFonts w:ascii="Arial" w:hAnsi="Arial" w:cs="Arial"/>
          <w:sz w:val="20"/>
          <w:szCs w:val="20"/>
        </w:rPr>
        <w:t xml:space="preserve">and </w:t>
      </w:r>
      <w:r w:rsidR="0095040C" w:rsidRPr="00120E1F">
        <w:rPr>
          <w:rFonts w:ascii="Arial" w:hAnsi="Arial" w:cs="Arial"/>
          <w:sz w:val="20"/>
          <w:szCs w:val="20"/>
        </w:rPr>
        <w:t>laboratory</w:t>
      </w:r>
      <w:r w:rsidR="0095040C">
        <w:rPr>
          <w:rFonts w:ascii="Arial" w:hAnsi="Arial" w:cs="Arial"/>
          <w:sz w:val="20"/>
          <w:szCs w:val="20"/>
        </w:rPr>
        <w:t xml:space="preserve"> service provided, </w:t>
      </w:r>
      <w:r w:rsidRPr="00120E1F">
        <w:rPr>
          <w:rFonts w:ascii="Arial" w:hAnsi="Arial" w:cs="Arial"/>
          <w:sz w:val="20"/>
          <w:szCs w:val="20"/>
        </w:rPr>
        <w:t xml:space="preserve">and attitude of staff, </w:t>
      </w:r>
      <w:r w:rsidR="0095040C">
        <w:rPr>
          <w:rFonts w:ascii="Arial" w:hAnsi="Arial" w:cs="Arial"/>
          <w:sz w:val="20"/>
          <w:szCs w:val="20"/>
        </w:rPr>
        <w:t xml:space="preserve">as </w:t>
      </w:r>
      <w:r w:rsidRPr="00120E1F">
        <w:rPr>
          <w:rFonts w:ascii="Arial" w:hAnsi="Arial" w:cs="Arial"/>
          <w:sz w:val="20"/>
          <w:szCs w:val="20"/>
        </w:rPr>
        <w:t xml:space="preserve">provided by </w:t>
      </w:r>
      <w:r w:rsidR="00120E1F">
        <w:rPr>
          <w:rFonts w:ascii="Arial" w:hAnsi="Arial" w:cs="Arial"/>
          <w:sz w:val="20"/>
          <w:szCs w:val="20"/>
        </w:rPr>
        <w:t>NHSGGC</w:t>
      </w:r>
      <w:r w:rsidRPr="00120E1F">
        <w:rPr>
          <w:rFonts w:ascii="Arial" w:hAnsi="Arial" w:cs="Arial"/>
          <w:sz w:val="20"/>
          <w:szCs w:val="20"/>
        </w:rPr>
        <w:t xml:space="preserve">. Complaints may be made in person, in writing, or by telephone, to any member of </w:t>
      </w:r>
      <w:r w:rsidR="0095040C">
        <w:rPr>
          <w:rFonts w:ascii="Arial" w:hAnsi="Arial" w:cs="Arial"/>
          <w:sz w:val="20"/>
          <w:szCs w:val="20"/>
        </w:rPr>
        <w:t>NHSGGC</w:t>
      </w:r>
      <w:r w:rsidRPr="00120E1F">
        <w:rPr>
          <w:rFonts w:ascii="Arial" w:hAnsi="Arial" w:cs="Arial"/>
          <w:sz w:val="20"/>
          <w:szCs w:val="20"/>
        </w:rPr>
        <w:t xml:space="preserve"> staff.</w:t>
      </w:r>
    </w:p>
    <w:p w:rsidR="00FC431D" w:rsidRPr="00120E1F" w:rsidRDefault="00FC431D" w:rsidP="00FC431D">
      <w:pPr>
        <w:jc w:val="both"/>
        <w:rPr>
          <w:rFonts w:ascii="Arial" w:hAnsi="Arial" w:cs="Arial"/>
          <w:sz w:val="20"/>
          <w:szCs w:val="20"/>
        </w:rPr>
      </w:pPr>
      <w:r w:rsidRPr="00120E1F">
        <w:rPr>
          <w:rFonts w:ascii="Arial" w:hAnsi="Arial" w:cs="Arial"/>
          <w:sz w:val="20"/>
          <w:szCs w:val="20"/>
        </w:rPr>
        <w:t xml:space="preserve">The procedure extends to cover Clinical Complaints (see below), but does </w:t>
      </w:r>
      <w:r w:rsidRPr="00120E1F">
        <w:rPr>
          <w:rFonts w:ascii="Arial" w:hAnsi="Arial" w:cs="Arial"/>
          <w:b/>
          <w:sz w:val="20"/>
          <w:szCs w:val="20"/>
        </w:rPr>
        <w:t>NOT cover litigation or professional regulation</w:t>
      </w:r>
      <w:r w:rsidRPr="00120E1F">
        <w:rPr>
          <w:rFonts w:ascii="Arial" w:hAnsi="Arial" w:cs="Arial"/>
          <w:sz w:val="20"/>
          <w:szCs w:val="20"/>
        </w:rPr>
        <w:t xml:space="preserve">. Such instances, including complaints made by staff, are covered through the </w:t>
      </w:r>
      <w:r w:rsidR="00120E1F">
        <w:rPr>
          <w:rFonts w:ascii="Arial" w:hAnsi="Arial" w:cs="Arial"/>
          <w:sz w:val="20"/>
          <w:szCs w:val="20"/>
        </w:rPr>
        <w:t>NHSGGC</w:t>
      </w:r>
      <w:r w:rsidRPr="00120E1F">
        <w:rPr>
          <w:rFonts w:ascii="Arial" w:hAnsi="Arial" w:cs="Arial"/>
          <w:sz w:val="20"/>
          <w:szCs w:val="20"/>
        </w:rPr>
        <w:t xml:space="preserve"> Grievance Policy and Procedure.</w:t>
      </w:r>
    </w:p>
    <w:p w:rsidR="00FC431D" w:rsidRPr="00120E1F" w:rsidRDefault="00FC431D" w:rsidP="00120E1F">
      <w:pPr>
        <w:pStyle w:val="Heading2"/>
        <w:rPr>
          <w:i w:val="0"/>
        </w:rPr>
      </w:pPr>
      <w:bookmarkStart w:id="16" w:name="_Toc97560752"/>
      <w:bookmarkStart w:id="17" w:name="_Toc222466702"/>
      <w:r w:rsidRPr="00120E1F">
        <w:rPr>
          <w:i w:val="0"/>
        </w:rPr>
        <w:t>2.</w:t>
      </w:r>
      <w:r w:rsidR="00621B5E">
        <w:rPr>
          <w:i w:val="0"/>
        </w:rPr>
        <w:t>1</w:t>
      </w:r>
      <w:r w:rsidRPr="00120E1F">
        <w:rPr>
          <w:i w:val="0"/>
        </w:rPr>
        <w:t>.1 Definition of a Clinical Complaint</w:t>
      </w:r>
      <w:bookmarkEnd w:id="16"/>
      <w:bookmarkEnd w:id="17"/>
    </w:p>
    <w:p w:rsidR="00FC431D" w:rsidRPr="00120E1F" w:rsidRDefault="00FC431D" w:rsidP="00FC431D">
      <w:pPr>
        <w:jc w:val="both"/>
        <w:rPr>
          <w:rFonts w:ascii="Arial" w:hAnsi="Arial" w:cs="Arial"/>
          <w:sz w:val="20"/>
          <w:szCs w:val="20"/>
        </w:rPr>
      </w:pPr>
      <w:r w:rsidRPr="00120E1F">
        <w:rPr>
          <w:rFonts w:ascii="Arial" w:hAnsi="Arial" w:cs="Arial"/>
          <w:sz w:val="20"/>
          <w:szCs w:val="20"/>
        </w:rPr>
        <w:t>Clinical Complaints are defined as any complaint relating, in whole, or in part, to action taken in consequence of the exercise of clinical judgement – i.e. any judgement that is made by a member of clinical staff by virtue of their professional knowledge and skill, which a layman could not make.</w:t>
      </w:r>
    </w:p>
    <w:p w:rsidR="00FC431D" w:rsidRDefault="00FC431D" w:rsidP="00FC431D">
      <w:pPr>
        <w:pStyle w:val="Heading1"/>
        <w:numPr>
          <w:ilvl w:val="0"/>
          <w:numId w:val="8"/>
        </w:numPr>
        <w:spacing w:line="240" w:lineRule="auto"/>
        <w:jc w:val="both"/>
      </w:pPr>
      <w:bookmarkStart w:id="18" w:name="_Toc97560758"/>
      <w:bookmarkStart w:id="19" w:name="_Toc222466703"/>
      <w:bookmarkStart w:id="20" w:name="_Toc97297225"/>
      <w:r w:rsidRPr="00120E1F">
        <w:t xml:space="preserve">Departmental </w:t>
      </w:r>
      <w:r w:rsidR="0095040C">
        <w:t>Complaints P</w:t>
      </w:r>
      <w:r w:rsidRPr="00120E1F">
        <w:t>rocedure</w:t>
      </w:r>
      <w:bookmarkEnd w:id="18"/>
      <w:bookmarkEnd w:id="19"/>
    </w:p>
    <w:p w:rsidR="00FA7614" w:rsidRPr="00FA7614" w:rsidRDefault="00FA7614" w:rsidP="00FA7614">
      <w:pPr>
        <w:tabs>
          <w:tab w:val="num" w:pos="426"/>
          <w:tab w:val="left" w:pos="4513"/>
        </w:tabs>
        <w:spacing w:after="0" w:line="240" w:lineRule="auto"/>
        <w:jc w:val="both"/>
        <w:rPr>
          <w:rFonts w:ascii="Arial" w:hAnsi="Arial"/>
          <w:sz w:val="20"/>
          <w:szCs w:val="20"/>
        </w:rPr>
      </w:pPr>
      <w:r>
        <w:rPr>
          <w:rFonts w:ascii="Arial" w:hAnsi="Arial"/>
          <w:sz w:val="20"/>
          <w:szCs w:val="20"/>
        </w:rPr>
        <w:t>This document is prepared consistent with local policies and procedures, as defined by NHSGGC, an</w:t>
      </w:r>
      <w:r w:rsidR="00FB6EDE">
        <w:rPr>
          <w:rFonts w:ascii="Arial" w:hAnsi="Arial"/>
          <w:sz w:val="20"/>
          <w:szCs w:val="20"/>
        </w:rPr>
        <w:t>d with ISO: 151</w:t>
      </w:r>
      <w:r w:rsidR="001227B9">
        <w:rPr>
          <w:rFonts w:ascii="Arial" w:hAnsi="Arial"/>
          <w:sz w:val="20"/>
          <w:szCs w:val="20"/>
        </w:rPr>
        <w:t>89, Standard 7.7</w:t>
      </w:r>
      <w:r>
        <w:rPr>
          <w:rFonts w:ascii="Arial" w:hAnsi="Arial"/>
          <w:sz w:val="20"/>
          <w:szCs w:val="20"/>
        </w:rPr>
        <w:t xml:space="preserve"> –</w:t>
      </w:r>
      <w:r w:rsidR="001227B9">
        <w:rPr>
          <w:rFonts w:ascii="Arial" w:hAnsi="Arial"/>
          <w:sz w:val="20"/>
          <w:szCs w:val="20"/>
        </w:rPr>
        <w:t xml:space="preserve"> </w:t>
      </w:r>
      <w:r>
        <w:rPr>
          <w:rFonts w:ascii="Arial" w:hAnsi="Arial"/>
          <w:sz w:val="20"/>
          <w:szCs w:val="20"/>
        </w:rPr>
        <w:t xml:space="preserve">Complaints. This standard requires the Department to maintain a </w:t>
      </w:r>
      <w:r w:rsidRPr="00FA7614">
        <w:rPr>
          <w:rFonts w:ascii="ArialMT" w:hAnsi="ArialMT" w:cs="ArialMT"/>
          <w:sz w:val="20"/>
          <w:szCs w:val="20"/>
          <w:lang w:eastAsia="en-GB"/>
        </w:rPr>
        <w:t>documented procedure</w:t>
      </w:r>
      <w:r>
        <w:rPr>
          <w:rFonts w:ascii="ArialMT" w:hAnsi="ArialMT" w:cs="ArialMT"/>
          <w:sz w:val="20"/>
          <w:szCs w:val="20"/>
          <w:lang w:eastAsia="en-GB"/>
        </w:rPr>
        <w:t xml:space="preserve"> (</w:t>
      </w:r>
      <w:r w:rsidRPr="00FA7614">
        <w:rPr>
          <w:rFonts w:ascii="ArialMT" w:hAnsi="ArialMT" w:cs="ArialMT"/>
          <w:b/>
          <w:i/>
          <w:sz w:val="20"/>
          <w:szCs w:val="20"/>
          <w:lang w:eastAsia="en-GB"/>
        </w:rPr>
        <w:t>this document</w:t>
      </w:r>
      <w:r>
        <w:rPr>
          <w:rFonts w:ascii="ArialMT" w:hAnsi="ArialMT" w:cs="ArialMT"/>
          <w:sz w:val="20"/>
          <w:szCs w:val="20"/>
          <w:lang w:eastAsia="en-GB"/>
        </w:rPr>
        <w:t>)</w:t>
      </w:r>
      <w:r w:rsidRPr="00FA7614">
        <w:rPr>
          <w:rFonts w:ascii="ArialMT" w:hAnsi="ArialMT" w:cs="ArialMT"/>
          <w:sz w:val="20"/>
          <w:szCs w:val="20"/>
          <w:lang w:eastAsia="en-GB"/>
        </w:rPr>
        <w:t xml:space="preserve"> for the management of complaints or other feedback</w:t>
      </w:r>
      <w:r>
        <w:rPr>
          <w:rFonts w:ascii="ArialMT" w:hAnsi="ArialMT" w:cs="ArialMT"/>
          <w:sz w:val="20"/>
          <w:szCs w:val="20"/>
          <w:lang w:eastAsia="en-GB"/>
        </w:rPr>
        <w:t xml:space="preserve"> </w:t>
      </w:r>
      <w:r w:rsidRPr="00FA7614">
        <w:rPr>
          <w:rFonts w:ascii="ArialMT" w:hAnsi="ArialMT" w:cs="ArialMT"/>
          <w:sz w:val="20"/>
          <w:szCs w:val="20"/>
          <w:lang w:eastAsia="en-GB"/>
        </w:rPr>
        <w:t>received from clinicians, patients, laboratory staff or other parties.</w:t>
      </w:r>
    </w:p>
    <w:p w:rsidR="0095040C" w:rsidRPr="0095040C" w:rsidRDefault="0095040C" w:rsidP="0095040C">
      <w:pPr>
        <w:pStyle w:val="Heading2"/>
        <w:rPr>
          <w:i w:val="0"/>
        </w:rPr>
      </w:pPr>
      <w:bookmarkStart w:id="21" w:name="_Toc222466704"/>
      <w:r>
        <w:rPr>
          <w:i w:val="0"/>
        </w:rPr>
        <w:lastRenderedPageBreak/>
        <w:t>3.1 General</w:t>
      </w:r>
      <w:r w:rsidRPr="0095040C">
        <w:rPr>
          <w:i w:val="0"/>
        </w:rPr>
        <w:t xml:space="preserve"> Principles</w:t>
      </w:r>
      <w:bookmarkEnd w:id="21"/>
    </w:p>
    <w:p w:rsidR="0095040C" w:rsidRDefault="0095040C" w:rsidP="0095040C">
      <w:pPr>
        <w:numPr>
          <w:ilvl w:val="0"/>
          <w:numId w:val="14"/>
        </w:numPr>
        <w:tabs>
          <w:tab w:val="clear" w:pos="720"/>
          <w:tab w:val="num" w:pos="360"/>
        </w:tabs>
        <w:ind w:left="360"/>
        <w:jc w:val="both"/>
        <w:rPr>
          <w:rFonts w:ascii="Arial" w:hAnsi="Arial" w:cs="Arial"/>
          <w:sz w:val="20"/>
          <w:szCs w:val="20"/>
        </w:rPr>
      </w:pPr>
      <w:r w:rsidRPr="00120E1F">
        <w:rPr>
          <w:rFonts w:ascii="Arial" w:hAnsi="Arial" w:cs="Arial"/>
          <w:sz w:val="20"/>
          <w:szCs w:val="20"/>
        </w:rPr>
        <w:t>Local resolution involves complaints being dealt with quickly and where possible at the source of the complaint. The principle function of local resolution, where possible, and where appropriate, shall be the comprehensive satisfaction of the complainant.</w:t>
      </w:r>
      <w:r>
        <w:rPr>
          <w:rFonts w:ascii="Arial" w:hAnsi="Arial" w:cs="Arial"/>
          <w:sz w:val="20"/>
          <w:szCs w:val="20"/>
        </w:rPr>
        <w:t xml:space="preserve"> </w:t>
      </w:r>
    </w:p>
    <w:p w:rsidR="0095040C" w:rsidRDefault="0095040C" w:rsidP="0095040C">
      <w:pPr>
        <w:numPr>
          <w:ilvl w:val="0"/>
          <w:numId w:val="14"/>
        </w:numPr>
        <w:tabs>
          <w:tab w:val="clear" w:pos="720"/>
          <w:tab w:val="num" w:pos="360"/>
        </w:tabs>
        <w:ind w:left="360"/>
        <w:jc w:val="both"/>
        <w:rPr>
          <w:rFonts w:ascii="Arial" w:hAnsi="Arial" w:cs="Arial"/>
          <w:sz w:val="20"/>
          <w:szCs w:val="20"/>
        </w:rPr>
      </w:pPr>
      <w:r w:rsidRPr="0095040C">
        <w:rPr>
          <w:rFonts w:ascii="Arial" w:hAnsi="Arial" w:cs="Arial"/>
          <w:sz w:val="20"/>
          <w:szCs w:val="20"/>
        </w:rPr>
        <w:t xml:space="preserve">The aim of </w:t>
      </w:r>
      <w:r>
        <w:rPr>
          <w:rFonts w:ascii="Arial" w:hAnsi="Arial" w:cs="Arial"/>
          <w:sz w:val="20"/>
          <w:szCs w:val="20"/>
        </w:rPr>
        <w:t xml:space="preserve">the complaints procedure is to </w:t>
      </w:r>
      <w:r w:rsidRPr="0095040C">
        <w:rPr>
          <w:rFonts w:ascii="Arial" w:hAnsi="Arial" w:cs="Arial"/>
          <w:sz w:val="20"/>
          <w:szCs w:val="20"/>
        </w:rPr>
        <w:t>enable both parties</w:t>
      </w:r>
      <w:r>
        <w:rPr>
          <w:rFonts w:ascii="Arial" w:hAnsi="Arial" w:cs="Arial"/>
          <w:sz w:val="20"/>
          <w:szCs w:val="20"/>
        </w:rPr>
        <w:t xml:space="preserve"> </w:t>
      </w:r>
      <w:r w:rsidRPr="0095040C">
        <w:rPr>
          <w:rFonts w:ascii="Arial" w:hAnsi="Arial" w:cs="Arial"/>
          <w:sz w:val="20"/>
          <w:szCs w:val="20"/>
        </w:rPr>
        <w:t>to address the issues in a non-confrontational manner with the aim of mutual agreement</w:t>
      </w:r>
      <w:r>
        <w:rPr>
          <w:rFonts w:ascii="Arial" w:hAnsi="Arial" w:cs="Arial"/>
          <w:sz w:val="20"/>
          <w:szCs w:val="20"/>
        </w:rPr>
        <w:t xml:space="preserve"> (conciliation).</w:t>
      </w:r>
    </w:p>
    <w:p w:rsidR="00B72A2D" w:rsidRDefault="00B72A2D" w:rsidP="00B72A2D">
      <w:pPr>
        <w:numPr>
          <w:ilvl w:val="0"/>
          <w:numId w:val="14"/>
        </w:numPr>
        <w:tabs>
          <w:tab w:val="clear" w:pos="720"/>
          <w:tab w:val="num" w:pos="360"/>
        </w:tabs>
        <w:ind w:left="360"/>
        <w:jc w:val="both"/>
        <w:rPr>
          <w:rFonts w:ascii="Arial" w:hAnsi="Arial" w:cs="Arial"/>
          <w:sz w:val="20"/>
          <w:szCs w:val="20"/>
        </w:rPr>
      </w:pPr>
      <w:r w:rsidRPr="00B72A2D">
        <w:rPr>
          <w:rFonts w:ascii="Arial" w:hAnsi="Arial" w:cs="Arial"/>
          <w:sz w:val="20"/>
          <w:szCs w:val="20"/>
        </w:rPr>
        <w:t xml:space="preserve">If any member of staff receives a complaint from any source, </w:t>
      </w:r>
      <w:r w:rsidR="00B37EE5">
        <w:rPr>
          <w:rFonts w:ascii="Arial" w:hAnsi="Arial" w:cs="Arial"/>
          <w:sz w:val="20"/>
          <w:szCs w:val="20"/>
        </w:rPr>
        <w:t xml:space="preserve">an NC should be logged on Q-Pulse using the ‘Complaints’ wizard. </w:t>
      </w:r>
    </w:p>
    <w:p w:rsidR="006A082B" w:rsidRDefault="006A082B" w:rsidP="00B72A2D">
      <w:pPr>
        <w:numPr>
          <w:ilvl w:val="0"/>
          <w:numId w:val="14"/>
        </w:numPr>
        <w:tabs>
          <w:tab w:val="clear" w:pos="720"/>
          <w:tab w:val="num" w:pos="360"/>
        </w:tabs>
        <w:ind w:left="360"/>
        <w:jc w:val="both"/>
        <w:rPr>
          <w:rFonts w:ascii="Arial" w:hAnsi="Arial" w:cs="Arial"/>
          <w:sz w:val="20"/>
          <w:szCs w:val="20"/>
        </w:rPr>
      </w:pPr>
      <w:r>
        <w:rPr>
          <w:rFonts w:ascii="Arial" w:hAnsi="Arial" w:cs="Arial"/>
          <w:sz w:val="20"/>
          <w:szCs w:val="20"/>
        </w:rPr>
        <w:t>After receipt of a compliant a folder must be started on the secure ‘Clyde Management’ drive to store all related paperwork.</w:t>
      </w:r>
    </w:p>
    <w:p w:rsidR="00FC431D" w:rsidRPr="00120E1F" w:rsidRDefault="001A662F" w:rsidP="00FC431D">
      <w:pPr>
        <w:pStyle w:val="Heading2"/>
        <w:rPr>
          <w:i w:val="0"/>
        </w:rPr>
      </w:pPr>
      <w:bookmarkStart w:id="22" w:name="_Toc97560759"/>
      <w:bookmarkStart w:id="23" w:name="_Toc222466705"/>
      <w:r>
        <w:rPr>
          <w:i w:val="0"/>
        </w:rPr>
        <w:t>3</w:t>
      </w:r>
      <w:r w:rsidR="00FC431D" w:rsidRPr="00120E1F">
        <w:rPr>
          <w:i w:val="0"/>
        </w:rPr>
        <w:t>.</w:t>
      </w:r>
      <w:r>
        <w:rPr>
          <w:i w:val="0"/>
        </w:rPr>
        <w:t>2</w:t>
      </w:r>
      <w:r w:rsidR="00FC431D" w:rsidRPr="00120E1F">
        <w:rPr>
          <w:i w:val="0"/>
        </w:rPr>
        <w:t xml:space="preserve"> Procedure for Handling Verbal Complaints</w:t>
      </w:r>
      <w:bookmarkEnd w:id="22"/>
      <w:bookmarkEnd w:id="23"/>
    </w:p>
    <w:p w:rsidR="00FC431D" w:rsidRPr="00120E1F" w:rsidRDefault="00FC431D" w:rsidP="00CC1545">
      <w:pPr>
        <w:numPr>
          <w:ilvl w:val="0"/>
          <w:numId w:val="4"/>
        </w:numPr>
        <w:tabs>
          <w:tab w:val="clear" w:pos="720"/>
          <w:tab w:val="num" w:pos="330"/>
        </w:tabs>
        <w:spacing w:after="120" w:line="240" w:lineRule="auto"/>
        <w:ind w:left="330" w:hanging="330"/>
        <w:jc w:val="both"/>
        <w:rPr>
          <w:rFonts w:ascii="Arial" w:hAnsi="Arial" w:cs="Arial"/>
          <w:sz w:val="20"/>
          <w:szCs w:val="20"/>
        </w:rPr>
      </w:pPr>
      <w:bookmarkStart w:id="24" w:name="_Toc97560760"/>
      <w:r w:rsidRPr="00120E1F">
        <w:rPr>
          <w:rFonts w:ascii="Arial" w:hAnsi="Arial" w:cs="Arial"/>
          <w:sz w:val="20"/>
          <w:szCs w:val="20"/>
        </w:rPr>
        <w:t xml:space="preserve">Staff, </w:t>
      </w:r>
      <w:r w:rsidR="00120E1F">
        <w:rPr>
          <w:rFonts w:ascii="Arial" w:hAnsi="Arial" w:cs="Arial"/>
          <w:sz w:val="20"/>
          <w:szCs w:val="20"/>
        </w:rPr>
        <w:t>on</w:t>
      </w:r>
      <w:r w:rsidRPr="00120E1F">
        <w:rPr>
          <w:rFonts w:ascii="Arial" w:hAnsi="Arial" w:cs="Arial"/>
          <w:sz w:val="20"/>
          <w:szCs w:val="20"/>
        </w:rPr>
        <w:t xml:space="preserve"> receipt of verbal complaints, must always act professionally and shall make every effort to act sympathetically, to </w:t>
      </w:r>
      <w:r w:rsidR="00120E1F">
        <w:rPr>
          <w:rFonts w:ascii="Arial" w:hAnsi="Arial" w:cs="Arial"/>
          <w:sz w:val="20"/>
          <w:szCs w:val="20"/>
        </w:rPr>
        <w:t>understand</w:t>
      </w:r>
      <w:r w:rsidRPr="00120E1F">
        <w:rPr>
          <w:rFonts w:ascii="Arial" w:hAnsi="Arial" w:cs="Arial"/>
          <w:sz w:val="20"/>
          <w:szCs w:val="20"/>
        </w:rPr>
        <w:t xml:space="preserve"> that the complainant had cause to complain, and offer an explanation, with the purpose of seeking resolution of the c</w:t>
      </w:r>
      <w:r w:rsidR="00C968B5">
        <w:rPr>
          <w:rFonts w:ascii="Arial" w:hAnsi="Arial" w:cs="Arial"/>
          <w:sz w:val="20"/>
          <w:szCs w:val="20"/>
        </w:rPr>
        <w:t>omplaint.  If the complaint can</w:t>
      </w:r>
      <w:r w:rsidRPr="00120E1F">
        <w:rPr>
          <w:rFonts w:ascii="Arial" w:hAnsi="Arial" w:cs="Arial"/>
          <w:sz w:val="20"/>
          <w:szCs w:val="20"/>
        </w:rPr>
        <w:t xml:space="preserve">not be, or is difficult to, resolve, the member of staff should immediately seek the advice of a </w:t>
      </w:r>
      <w:r w:rsidR="00C968B5">
        <w:rPr>
          <w:rFonts w:ascii="Arial" w:hAnsi="Arial" w:cs="Arial"/>
          <w:sz w:val="20"/>
          <w:szCs w:val="20"/>
        </w:rPr>
        <w:t>s</w:t>
      </w:r>
      <w:r w:rsidR="00120E1F">
        <w:rPr>
          <w:rFonts w:ascii="Arial" w:hAnsi="Arial" w:cs="Arial"/>
          <w:sz w:val="20"/>
          <w:szCs w:val="20"/>
        </w:rPr>
        <w:t xml:space="preserve">enior </w:t>
      </w:r>
      <w:r w:rsidR="00C968B5">
        <w:rPr>
          <w:rFonts w:ascii="Arial" w:hAnsi="Arial" w:cs="Arial"/>
          <w:sz w:val="20"/>
          <w:szCs w:val="20"/>
        </w:rPr>
        <w:t>staff m</w:t>
      </w:r>
      <w:r w:rsidR="00E92F5E">
        <w:rPr>
          <w:rFonts w:ascii="Arial" w:hAnsi="Arial" w:cs="Arial"/>
          <w:sz w:val="20"/>
          <w:szCs w:val="20"/>
        </w:rPr>
        <w:t>ember</w:t>
      </w:r>
      <w:r w:rsidRPr="00120E1F">
        <w:rPr>
          <w:rFonts w:ascii="Arial" w:hAnsi="Arial" w:cs="Arial"/>
          <w:sz w:val="20"/>
          <w:szCs w:val="20"/>
        </w:rPr>
        <w:t xml:space="preserve">. </w:t>
      </w:r>
      <w:bookmarkEnd w:id="24"/>
    </w:p>
    <w:p w:rsidR="00FC431D" w:rsidRPr="00120E1F" w:rsidRDefault="00FC431D" w:rsidP="00CC1545">
      <w:pPr>
        <w:numPr>
          <w:ilvl w:val="0"/>
          <w:numId w:val="4"/>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 xml:space="preserve">Complainants wishing to record a letter of complaint shall be asked to direct letters to the </w:t>
      </w:r>
      <w:r w:rsidR="00B37EE5">
        <w:rPr>
          <w:rFonts w:ascii="Arial" w:hAnsi="Arial" w:cs="Arial"/>
          <w:sz w:val="20"/>
          <w:szCs w:val="20"/>
        </w:rPr>
        <w:t>Technical Services Manager.</w:t>
      </w:r>
    </w:p>
    <w:p w:rsidR="00FC431D" w:rsidRPr="00120E1F" w:rsidRDefault="00FC431D" w:rsidP="00CC1545">
      <w:pPr>
        <w:numPr>
          <w:ilvl w:val="0"/>
          <w:numId w:val="4"/>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 xml:space="preserve">Complainants, not wishing to write to Departmental staff and wishing to lodge a formal written complaint to </w:t>
      </w:r>
      <w:r w:rsidR="00D82BC4">
        <w:rPr>
          <w:rFonts w:ascii="Arial" w:hAnsi="Arial" w:cs="Arial"/>
          <w:sz w:val="20"/>
          <w:szCs w:val="20"/>
        </w:rPr>
        <w:t>NHSGGC</w:t>
      </w:r>
      <w:r w:rsidRPr="00120E1F">
        <w:rPr>
          <w:rFonts w:ascii="Arial" w:hAnsi="Arial" w:cs="Arial"/>
          <w:sz w:val="20"/>
          <w:szCs w:val="20"/>
        </w:rPr>
        <w:t xml:space="preserve"> Management, shall be </w:t>
      </w:r>
      <w:r w:rsidR="00F61B7E">
        <w:rPr>
          <w:rFonts w:ascii="Arial" w:hAnsi="Arial" w:cs="Arial"/>
          <w:sz w:val="20"/>
          <w:szCs w:val="20"/>
        </w:rPr>
        <w:t>requested</w:t>
      </w:r>
      <w:r w:rsidRPr="00120E1F">
        <w:rPr>
          <w:rFonts w:ascii="Arial" w:hAnsi="Arial" w:cs="Arial"/>
          <w:sz w:val="20"/>
          <w:szCs w:val="20"/>
        </w:rPr>
        <w:t xml:space="preserve"> to </w:t>
      </w:r>
      <w:r w:rsidR="00F61B7E">
        <w:rPr>
          <w:rFonts w:ascii="Arial" w:hAnsi="Arial" w:cs="Arial"/>
          <w:sz w:val="20"/>
          <w:szCs w:val="20"/>
        </w:rPr>
        <w:t>contact The Complaints Team, as defined in Section 2.0</w:t>
      </w:r>
      <w:r w:rsidRPr="00120E1F">
        <w:rPr>
          <w:rFonts w:ascii="Arial" w:hAnsi="Arial" w:cs="Arial"/>
          <w:sz w:val="20"/>
          <w:szCs w:val="20"/>
        </w:rPr>
        <w:t>.</w:t>
      </w:r>
    </w:p>
    <w:p w:rsidR="00FC431D" w:rsidRPr="00120E1F" w:rsidRDefault="001A662F" w:rsidP="00FC431D">
      <w:pPr>
        <w:pStyle w:val="Heading2"/>
        <w:rPr>
          <w:i w:val="0"/>
        </w:rPr>
      </w:pPr>
      <w:bookmarkStart w:id="25" w:name="_Toc97560761"/>
      <w:bookmarkStart w:id="26" w:name="_Toc222466706"/>
      <w:r>
        <w:rPr>
          <w:i w:val="0"/>
        </w:rPr>
        <w:t>3.3</w:t>
      </w:r>
      <w:r w:rsidR="00FC431D" w:rsidRPr="00120E1F">
        <w:rPr>
          <w:i w:val="0"/>
        </w:rPr>
        <w:t xml:space="preserve"> Procedure for Handling Verbal Complaints </w:t>
      </w:r>
      <w:bookmarkEnd w:id="25"/>
      <w:r w:rsidR="00120E1F">
        <w:rPr>
          <w:i w:val="0"/>
        </w:rPr>
        <w:t>Out of Hours</w:t>
      </w:r>
      <w:bookmarkEnd w:id="26"/>
    </w:p>
    <w:p w:rsidR="00FC431D" w:rsidRPr="00120E1F" w:rsidRDefault="00FC431D" w:rsidP="00FC431D">
      <w:pPr>
        <w:jc w:val="both"/>
        <w:rPr>
          <w:rFonts w:ascii="Arial" w:hAnsi="Arial" w:cs="Arial"/>
          <w:sz w:val="20"/>
          <w:szCs w:val="20"/>
        </w:rPr>
      </w:pPr>
      <w:r w:rsidRPr="00120E1F">
        <w:rPr>
          <w:rFonts w:ascii="Arial" w:hAnsi="Arial" w:cs="Arial"/>
          <w:sz w:val="20"/>
          <w:szCs w:val="20"/>
        </w:rPr>
        <w:t xml:space="preserve">The procedure for handling verbal complaints out with normal office hours is identical to that of Section </w:t>
      </w:r>
      <w:r w:rsidR="00B72A2D">
        <w:rPr>
          <w:rFonts w:ascii="Arial" w:hAnsi="Arial" w:cs="Arial"/>
          <w:sz w:val="20"/>
          <w:szCs w:val="20"/>
        </w:rPr>
        <w:t>3.2</w:t>
      </w:r>
      <w:r w:rsidRPr="00120E1F">
        <w:rPr>
          <w:rFonts w:ascii="Arial" w:hAnsi="Arial" w:cs="Arial"/>
          <w:sz w:val="20"/>
          <w:szCs w:val="20"/>
        </w:rPr>
        <w:t>, Procedure for Handling Verbal Complaints, with the exception that complainants seeking to speak to a senior manager:</w:t>
      </w:r>
    </w:p>
    <w:p w:rsidR="00FC431D" w:rsidRPr="00120E1F" w:rsidRDefault="00FC431D" w:rsidP="00CC1545">
      <w:pPr>
        <w:numPr>
          <w:ilvl w:val="0"/>
          <w:numId w:val="5"/>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 xml:space="preserve">For immediate attention, complainants should be directed to contact duty Consultant Medical Staff. </w:t>
      </w:r>
    </w:p>
    <w:p w:rsidR="00FC431D" w:rsidRPr="00120E1F" w:rsidRDefault="00FC431D" w:rsidP="00CC1545">
      <w:pPr>
        <w:numPr>
          <w:ilvl w:val="0"/>
          <w:numId w:val="5"/>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Where the complainant is content to wait till normal office hours r</w:t>
      </w:r>
      <w:r w:rsidR="00B37EE5">
        <w:rPr>
          <w:rFonts w:ascii="Arial" w:hAnsi="Arial" w:cs="Arial"/>
          <w:sz w:val="20"/>
          <w:szCs w:val="20"/>
        </w:rPr>
        <w:t xml:space="preserve">esume, an NC can be logged for response by a member of the Management Team. </w:t>
      </w:r>
    </w:p>
    <w:p w:rsidR="00FC431D" w:rsidRPr="00120E1F" w:rsidRDefault="001A662F" w:rsidP="00FC431D">
      <w:pPr>
        <w:pStyle w:val="Heading2"/>
        <w:rPr>
          <w:i w:val="0"/>
        </w:rPr>
      </w:pPr>
      <w:bookmarkStart w:id="27" w:name="_Toc97560762"/>
      <w:bookmarkStart w:id="28" w:name="_Toc222466707"/>
      <w:r>
        <w:rPr>
          <w:i w:val="0"/>
        </w:rPr>
        <w:t>3.4</w:t>
      </w:r>
      <w:r w:rsidR="00FC431D" w:rsidRPr="00120E1F">
        <w:rPr>
          <w:i w:val="0"/>
        </w:rPr>
        <w:t xml:space="preserve"> Written Complaints</w:t>
      </w:r>
      <w:bookmarkEnd w:id="27"/>
      <w:bookmarkEnd w:id="28"/>
    </w:p>
    <w:p w:rsidR="00FC431D" w:rsidRPr="00120E1F" w:rsidRDefault="00FC431D" w:rsidP="00FC431D">
      <w:pPr>
        <w:jc w:val="both"/>
        <w:rPr>
          <w:rFonts w:ascii="Arial" w:hAnsi="Arial" w:cs="Arial"/>
          <w:sz w:val="20"/>
          <w:szCs w:val="20"/>
        </w:rPr>
      </w:pPr>
      <w:r w:rsidRPr="00120E1F">
        <w:rPr>
          <w:rFonts w:ascii="Arial" w:hAnsi="Arial" w:cs="Arial"/>
          <w:sz w:val="20"/>
          <w:szCs w:val="20"/>
        </w:rPr>
        <w:t xml:space="preserve">Written complaints should be received </w:t>
      </w:r>
      <w:r w:rsidR="00D82BC4">
        <w:rPr>
          <w:rFonts w:ascii="Arial" w:hAnsi="Arial" w:cs="Arial"/>
          <w:sz w:val="20"/>
          <w:szCs w:val="20"/>
        </w:rPr>
        <w:t>or referred to</w:t>
      </w:r>
      <w:r w:rsidRPr="00120E1F">
        <w:rPr>
          <w:rFonts w:ascii="Arial" w:hAnsi="Arial" w:cs="Arial"/>
          <w:sz w:val="20"/>
          <w:szCs w:val="20"/>
        </w:rPr>
        <w:t xml:space="preserve"> the </w:t>
      </w:r>
      <w:r w:rsidR="00C968B5">
        <w:rPr>
          <w:rFonts w:ascii="Arial" w:hAnsi="Arial" w:cs="Arial"/>
          <w:sz w:val="20"/>
          <w:szCs w:val="20"/>
        </w:rPr>
        <w:t>Technical Services Manager</w:t>
      </w:r>
      <w:r w:rsidRPr="00120E1F">
        <w:rPr>
          <w:rFonts w:ascii="Arial" w:hAnsi="Arial" w:cs="Arial"/>
          <w:sz w:val="20"/>
          <w:szCs w:val="20"/>
        </w:rPr>
        <w:t xml:space="preserve">. </w:t>
      </w:r>
    </w:p>
    <w:p w:rsidR="00FC431D" w:rsidRPr="00120E1F" w:rsidRDefault="001A662F" w:rsidP="00120E1F">
      <w:pPr>
        <w:pStyle w:val="Heading2"/>
        <w:rPr>
          <w:i w:val="0"/>
        </w:rPr>
      </w:pPr>
      <w:bookmarkStart w:id="29" w:name="_Toc97560763"/>
      <w:bookmarkStart w:id="30" w:name="_Toc222466708"/>
      <w:r>
        <w:rPr>
          <w:i w:val="0"/>
        </w:rPr>
        <w:t xml:space="preserve">3.5 </w:t>
      </w:r>
      <w:r w:rsidR="00FC431D" w:rsidRPr="00120E1F">
        <w:rPr>
          <w:i w:val="0"/>
        </w:rPr>
        <w:t>Complaint Acknowledgement and Conclusion</w:t>
      </w:r>
      <w:bookmarkEnd w:id="29"/>
      <w:bookmarkEnd w:id="30"/>
    </w:p>
    <w:p w:rsidR="00FC431D" w:rsidRPr="00120E1F" w:rsidRDefault="00FC431D" w:rsidP="00FC431D">
      <w:pPr>
        <w:jc w:val="both"/>
        <w:rPr>
          <w:rFonts w:ascii="Arial" w:hAnsi="Arial" w:cs="Arial"/>
          <w:sz w:val="20"/>
          <w:szCs w:val="20"/>
        </w:rPr>
      </w:pPr>
      <w:r w:rsidRPr="00120E1F">
        <w:rPr>
          <w:rFonts w:ascii="Arial" w:hAnsi="Arial" w:cs="Arial"/>
          <w:sz w:val="20"/>
          <w:szCs w:val="20"/>
        </w:rPr>
        <w:t xml:space="preserve">For all written complaints resolved at local level, complainants should be replied to, ordinarily, by letter </w:t>
      </w:r>
      <w:r w:rsidR="00C968B5">
        <w:rPr>
          <w:rFonts w:ascii="Arial" w:hAnsi="Arial" w:cs="Arial"/>
          <w:sz w:val="20"/>
          <w:szCs w:val="20"/>
        </w:rPr>
        <w:t xml:space="preserve">or e-mail </w:t>
      </w:r>
      <w:r w:rsidRPr="00120E1F">
        <w:rPr>
          <w:rFonts w:ascii="Arial" w:hAnsi="Arial" w:cs="Arial"/>
          <w:sz w:val="20"/>
          <w:szCs w:val="20"/>
        </w:rPr>
        <w:t xml:space="preserve">from </w:t>
      </w:r>
      <w:r w:rsidR="00C968B5">
        <w:rPr>
          <w:rFonts w:ascii="Arial" w:hAnsi="Arial" w:cs="Arial"/>
          <w:sz w:val="20"/>
          <w:szCs w:val="20"/>
        </w:rPr>
        <w:t xml:space="preserve">either </w:t>
      </w:r>
      <w:r w:rsidRPr="00120E1F">
        <w:rPr>
          <w:rFonts w:ascii="Arial" w:hAnsi="Arial" w:cs="Arial"/>
          <w:sz w:val="20"/>
          <w:szCs w:val="20"/>
        </w:rPr>
        <w:t xml:space="preserve">the </w:t>
      </w:r>
      <w:r w:rsidR="00C968B5">
        <w:rPr>
          <w:rFonts w:ascii="Arial" w:hAnsi="Arial" w:cs="Arial"/>
          <w:sz w:val="20"/>
          <w:szCs w:val="20"/>
        </w:rPr>
        <w:t>laboratory management team or Technical Services Manager</w:t>
      </w:r>
      <w:r w:rsidRPr="00120E1F">
        <w:rPr>
          <w:rFonts w:ascii="Arial" w:hAnsi="Arial" w:cs="Arial"/>
          <w:sz w:val="20"/>
          <w:szCs w:val="20"/>
        </w:rPr>
        <w:t xml:space="preserve">. Where there is no quick conclusion, e.g. when complaint investigation and review is perceived to take longer than one week, </w:t>
      </w:r>
      <w:r w:rsidR="006F1096">
        <w:rPr>
          <w:rFonts w:ascii="Arial" w:hAnsi="Arial" w:cs="Arial"/>
          <w:sz w:val="20"/>
          <w:szCs w:val="20"/>
        </w:rPr>
        <w:t>a communication will be sent to the complainant.</w:t>
      </w:r>
    </w:p>
    <w:p w:rsidR="003D5F61" w:rsidRDefault="00FC431D" w:rsidP="00FC431D">
      <w:pPr>
        <w:jc w:val="both"/>
        <w:rPr>
          <w:rFonts w:ascii="Arial" w:hAnsi="Arial" w:cs="Arial"/>
          <w:sz w:val="20"/>
          <w:szCs w:val="20"/>
        </w:rPr>
      </w:pPr>
      <w:r w:rsidRPr="00120E1F">
        <w:rPr>
          <w:rFonts w:ascii="Arial" w:hAnsi="Arial" w:cs="Arial"/>
          <w:sz w:val="20"/>
          <w:szCs w:val="20"/>
        </w:rPr>
        <w:t xml:space="preserve">Following complaint conclusion, a letter </w:t>
      </w:r>
      <w:r w:rsidR="003D5F61" w:rsidRPr="00120E1F">
        <w:rPr>
          <w:rFonts w:ascii="Arial" w:hAnsi="Arial" w:cs="Arial"/>
          <w:sz w:val="20"/>
          <w:szCs w:val="20"/>
        </w:rPr>
        <w:t>shall be written to the complainant</w:t>
      </w:r>
      <w:r w:rsidR="003D5F61">
        <w:rPr>
          <w:rFonts w:ascii="Arial" w:hAnsi="Arial" w:cs="Arial"/>
          <w:sz w:val="20"/>
          <w:szCs w:val="20"/>
        </w:rPr>
        <w:t xml:space="preserve">, </w:t>
      </w:r>
      <w:r w:rsidRPr="00120E1F">
        <w:rPr>
          <w:rFonts w:ascii="Arial" w:hAnsi="Arial" w:cs="Arial"/>
          <w:sz w:val="20"/>
          <w:szCs w:val="20"/>
        </w:rPr>
        <w:t>itemising investigations performed, the outcomes of such investigations, and where approp</w:t>
      </w:r>
      <w:r w:rsidR="006F1096">
        <w:rPr>
          <w:rFonts w:ascii="Arial" w:hAnsi="Arial" w:cs="Arial"/>
          <w:sz w:val="20"/>
          <w:szCs w:val="20"/>
        </w:rPr>
        <w:t xml:space="preserve">riate, formal </w:t>
      </w:r>
      <w:r w:rsidR="006F1096">
        <w:rPr>
          <w:rFonts w:ascii="Arial" w:hAnsi="Arial" w:cs="Arial"/>
          <w:sz w:val="20"/>
          <w:szCs w:val="20"/>
        </w:rPr>
        <w:lastRenderedPageBreak/>
        <w:t>apology from the d</w:t>
      </w:r>
      <w:r w:rsidRPr="00120E1F">
        <w:rPr>
          <w:rFonts w:ascii="Arial" w:hAnsi="Arial" w:cs="Arial"/>
          <w:sz w:val="20"/>
          <w:szCs w:val="20"/>
        </w:rPr>
        <w:t>epartment</w:t>
      </w:r>
      <w:r w:rsidR="00E92F5E">
        <w:rPr>
          <w:rFonts w:ascii="Arial" w:hAnsi="Arial" w:cs="Arial"/>
          <w:sz w:val="20"/>
          <w:szCs w:val="20"/>
        </w:rPr>
        <w:t xml:space="preserve"> inclusive of</w:t>
      </w:r>
      <w:r w:rsidR="003D5F61">
        <w:rPr>
          <w:rFonts w:ascii="Arial" w:hAnsi="Arial" w:cs="Arial"/>
          <w:sz w:val="20"/>
          <w:szCs w:val="20"/>
        </w:rPr>
        <w:t xml:space="preserve"> </w:t>
      </w:r>
      <w:r w:rsidRPr="00120E1F">
        <w:rPr>
          <w:rFonts w:ascii="Arial" w:hAnsi="Arial" w:cs="Arial"/>
          <w:sz w:val="20"/>
          <w:szCs w:val="20"/>
        </w:rPr>
        <w:t xml:space="preserve">corrective </w:t>
      </w:r>
      <w:r w:rsidR="003D5F61">
        <w:rPr>
          <w:rFonts w:ascii="Arial" w:hAnsi="Arial" w:cs="Arial"/>
          <w:sz w:val="20"/>
          <w:szCs w:val="20"/>
        </w:rPr>
        <w:t xml:space="preserve">and preventative </w:t>
      </w:r>
      <w:r w:rsidRPr="00120E1F">
        <w:rPr>
          <w:rFonts w:ascii="Arial" w:hAnsi="Arial" w:cs="Arial"/>
          <w:sz w:val="20"/>
          <w:szCs w:val="20"/>
        </w:rPr>
        <w:t>action</w:t>
      </w:r>
      <w:r w:rsidR="003D5F61">
        <w:rPr>
          <w:rFonts w:ascii="Arial" w:hAnsi="Arial" w:cs="Arial"/>
          <w:sz w:val="20"/>
          <w:szCs w:val="20"/>
        </w:rPr>
        <w:t>s</w:t>
      </w:r>
      <w:r w:rsidRPr="00120E1F">
        <w:rPr>
          <w:rFonts w:ascii="Arial" w:hAnsi="Arial" w:cs="Arial"/>
          <w:sz w:val="20"/>
          <w:szCs w:val="20"/>
        </w:rPr>
        <w:t xml:space="preserve"> adopted, in the assurance that such cause for complaint should not recur</w:t>
      </w:r>
      <w:r w:rsidR="003D5F61">
        <w:rPr>
          <w:rFonts w:ascii="Arial" w:hAnsi="Arial" w:cs="Arial"/>
          <w:sz w:val="20"/>
          <w:szCs w:val="20"/>
        </w:rPr>
        <w:t>.</w:t>
      </w:r>
    </w:p>
    <w:p w:rsidR="00FC431D" w:rsidRPr="00120E1F" w:rsidRDefault="006F1096" w:rsidP="00FC431D">
      <w:pPr>
        <w:jc w:val="both"/>
        <w:rPr>
          <w:rFonts w:ascii="Arial" w:hAnsi="Arial" w:cs="Arial"/>
          <w:sz w:val="20"/>
          <w:szCs w:val="20"/>
        </w:rPr>
      </w:pPr>
      <w:r>
        <w:rPr>
          <w:rFonts w:ascii="Arial" w:hAnsi="Arial" w:cs="Arial"/>
          <w:sz w:val="20"/>
          <w:szCs w:val="20"/>
        </w:rPr>
        <w:t>Complaints, that can</w:t>
      </w:r>
      <w:r w:rsidR="00FC431D" w:rsidRPr="00120E1F">
        <w:rPr>
          <w:rFonts w:ascii="Arial" w:hAnsi="Arial" w:cs="Arial"/>
          <w:sz w:val="20"/>
          <w:szCs w:val="20"/>
        </w:rPr>
        <w:t xml:space="preserve">not be satisfactorily resolved to mutual agreement at </w:t>
      </w:r>
      <w:r>
        <w:rPr>
          <w:rFonts w:ascii="Arial" w:hAnsi="Arial" w:cs="Arial"/>
          <w:sz w:val="20"/>
          <w:szCs w:val="20"/>
        </w:rPr>
        <w:t>d</w:t>
      </w:r>
      <w:r w:rsidR="00FC431D" w:rsidRPr="00120E1F">
        <w:rPr>
          <w:rFonts w:ascii="Arial" w:hAnsi="Arial" w:cs="Arial"/>
          <w:sz w:val="20"/>
          <w:szCs w:val="20"/>
        </w:rPr>
        <w:t>epartmental level, shall be forwarded</w:t>
      </w:r>
      <w:r w:rsidR="003D5F61">
        <w:rPr>
          <w:rFonts w:ascii="Arial" w:hAnsi="Arial" w:cs="Arial"/>
          <w:sz w:val="20"/>
          <w:szCs w:val="20"/>
        </w:rPr>
        <w:t xml:space="preserve"> / referred</w:t>
      </w:r>
      <w:r w:rsidR="00FC431D" w:rsidRPr="00120E1F">
        <w:rPr>
          <w:rFonts w:ascii="Arial" w:hAnsi="Arial" w:cs="Arial"/>
          <w:sz w:val="20"/>
          <w:szCs w:val="20"/>
        </w:rPr>
        <w:t xml:space="preserve"> to </w:t>
      </w:r>
      <w:r w:rsidR="003D5F61">
        <w:rPr>
          <w:rFonts w:ascii="Arial" w:hAnsi="Arial" w:cs="Arial"/>
          <w:sz w:val="20"/>
          <w:szCs w:val="20"/>
        </w:rPr>
        <w:t xml:space="preserve">the </w:t>
      </w:r>
      <w:r w:rsidR="00E17367">
        <w:rPr>
          <w:rFonts w:ascii="Arial" w:hAnsi="Arial" w:cs="Arial"/>
          <w:sz w:val="20"/>
          <w:szCs w:val="20"/>
        </w:rPr>
        <w:t>Complaints Team, as defined in Section 2.0.</w:t>
      </w:r>
    </w:p>
    <w:p w:rsidR="00FC431D" w:rsidRDefault="001A662F" w:rsidP="00FC431D">
      <w:pPr>
        <w:pStyle w:val="Heading2"/>
        <w:rPr>
          <w:i w:val="0"/>
        </w:rPr>
      </w:pPr>
      <w:bookmarkStart w:id="31" w:name="_Toc97560764"/>
      <w:bookmarkStart w:id="32" w:name="_Toc222466709"/>
      <w:r>
        <w:rPr>
          <w:i w:val="0"/>
        </w:rPr>
        <w:t xml:space="preserve">3.6 </w:t>
      </w:r>
      <w:r w:rsidR="00FC431D" w:rsidRPr="00120E1F">
        <w:rPr>
          <w:i w:val="0"/>
        </w:rPr>
        <w:t xml:space="preserve">Complaint </w:t>
      </w:r>
      <w:bookmarkEnd w:id="31"/>
      <w:r w:rsidR="00515FDD">
        <w:rPr>
          <w:i w:val="0"/>
        </w:rPr>
        <w:t>Review</w:t>
      </w:r>
      <w:bookmarkEnd w:id="32"/>
    </w:p>
    <w:p w:rsidR="00E17367" w:rsidRDefault="00515FDD" w:rsidP="00515FDD">
      <w:pPr>
        <w:numPr>
          <w:ilvl w:val="0"/>
          <w:numId w:val="6"/>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All complaints</w:t>
      </w:r>
      <w:r w:rsidR="00E17367">
        <w:rPr>
          <w:rFonts w:ascii="Arial" w:hAnsi="Arial" w:cs="Arial"/>
          <w:sz w:val="20"/>
          <w:szCs w:val="20"/>
        </w:rPr>
        <w:t xml:space="preserve"> </w:t>
      </w:r>
      <w:r w:rsidRPr="00120E1F">
        <w:rPr>
          <w:rFonts w:ascii="Arial" w:hAnsi="Arial" w:cs="Arial"/>
          <w:sz w:val="20"/>
          <w:szCs w:val="20"/>
        </w:rPr>
        <w:t xml:space="preserve">shall be </w:t>
      </w:r>
      <w:r w:rsidR="00E17367">
        <w:rPr>
          <w:rFonts w:ascii="Arial" w:hAnsi="Arial" w:cs="Arial"/>
          <w:sz w:val="20"/>
          <w:szCs w:val="20"/>
        </w:rPr>
        <w:t xml:space="preserve">subject to formal review by the </w:t>
      </w:r>
      <w:r w:rsidR="006F1096">
        <w:rPr>
          <w:rFonts w:ascii="Arial" w:hAnsi="Arial" w:cs="Arial"/>
          <w:sz w:val="20"/>
          <w:szCs w:val="20"/>
        </w:rPr>
        <w:t>Haematology management team and local quality team at their next meeting</w:t>
      </w:r>
      <w:r w:rsidR="00E92F5E">
        <w:rPr>
          <w:rFonts w:ascii="Arial" w:hAnsi="Arial" w:cs="Arial"/>
          <w:sz w:val="20"/>
          <w:szCs w:val="20"/>
        </w:rPr>
        <w:t>.</w:t>
      </w:r>
      <w:r w:rsidR="006F1096">
        <w:rPr>
          <w:rFonts w:ascii="Arial" w:hAnsi="Arial" w:cs="Arial"/>
          <w:sz w:val="20"/>
          <w:szCs w:val="20"/>
        </w:rPr>
        <w:t xml:space="preserve"> This g</w:t>
      </w:r>
      <w:r w:rsidR="00E17367">
        <w:rPr>
          <w:rFonts w:ascii="Arial" w:hAnsi="Arial" w:cs="Arial"/>
          <w:sz w:val="20"/>
          <w:szCs w:val="20"/>
        </w:rPr>
        <w:t xml:space="preserve">roup is responsible for the evaluation of corrective / preventative action </w:t>
      </w:r>
      <w:r w:rsidR="00E17367" w:rsidRPr="00120E1F">
        <w:rPr>
          <w:rFonts w:ascii="Arial" w:hAnsi="Arial" w:cs="Arial"/>
          <w:sz w:val="20"/>
          <w:szCs w:val="20"/>
        </w:rPr>
        <w:t>implemented at the</w:t>
      </w:r>
      <w:r w:rsidR="00E17367">
        <w:rPr>
          <w:rFonts w:ascii="Arial" w:hAnsi="Arial" w:cs="Arial"/>
          <w:sz w:val="20"/>
          <w:szCs w:val="20"/>
        </w:rPr>
        <w:t xml:space="preserve"> time of complaint receipt, and subsequent to this, the institution of</w:t>
      </w:r>
      <w:r w:rsidRPr="00120E1F">
        <w:rPr>
          <w:rFonts w:ascii="Arial" w:hAnsi="Arial" w:cs="Arial"/>
          <w:sz w:val="20"/>
          <w:szCs w:val="20"/>
        </w:rPr>
        <w:t xml:space="preserve"> additional corrective</w:t>
      </w:r>
      <w:r w:rsidR="00E92F5E">
        <w:rPr>
          <w:rFonts w:ascii="Arial" w:hAnsi="Arial" w:cs="Arial"/>
          <w:sz w:val="20"/>
          <w:szCs w:val="20"/>
        </w:rPr>
        <w:t xml:space="preserve"> /</w:t>
      </w:r>
      <w:r w:rsidR="00E17367">
        <w:rPr>
          <w:rFonts w:ascii="Arial" w:hAnsi="Arial" w:cs="Arial"/>
          <w:sz w:val="20"/>
          <w:szCs w:val="20"/>
        </w:rPr>
        <w:t xml:space="preserve"> preventative </w:t>
      </w:r>
      <w:r w:rsidRPr="00120E1F">
        <w:rPr>
          <w:rFonts w:ascii="Arial" w:hAnsi="Arial" w:cs="Arial"/>
          <w:sz w:val="20"/>
          <w:szCs w:val="20"/>
        </w:rPr>
        <w:t>action</w:t>
      </w:r>
      <w:r w:rsidR="00E17367">
        <w:rPr>
          <w:rFonts w:ascii="Arial" w:hAnsi="Arial" w:cs="Arial"/>
          <w:sz w:val="20"/>
          <w:szCs w:val="20"/>
        </w:rPr>
        <w:t xml:space="preserve"> as </w:t>
      </w:r>
      <w:r w:rsidR="00E92F5E">
        <w:rPr>
          <w:rFonts w:ascii="Arial" w:hAnsi="Arial" w:cs="Arial"/>
          <w:sz w:val="20"/>
          <w:szCs w:val="20"/>
        </w:rPr>
        <w:t>required</w:t>
      </w:r>
      <w:r w:rsidRPr="00120E1F">
        <w:rPr>
          <w:rFonts w:ascii="Arial" w:hAnsi="Arial" w:cs="Arial"/>
          <w:sz w:val="20"/>
          <w:szCs w:val="20"/>
        </w:rPr>
        <w:t xml:space="preserve">, </w:t>
      </w:r>
    </w:p>
    <w:p w:rsidR="00F72BE0" w:rsidRDefault="006F1096" w:rsidP="00F72BE0">
      <w:pPr>
        <w:numPr>
          <w:ilvl w:val="0"/>
          <w:numId w:val="6"/>
        </w:numPr>
        <w:tabs>
          <w:tab w:val="clear" w:pos="720"/>
          <w:tab w:val="num" w:pos="360"/>
        </w:tabs>
        <w:spacing w:after="120" w:line="240" w:lineRule="auto"/>
        <w:ind w:left="360"/>
        <w:jc w:val="both"/>
        <w:rPr>
          <w:rFonts w:ascii="Arial" w:hAnsi="Arial" w:cs="Arial"/>
          <w:sz w:val="20"/>
          <w:szCs w:val="20"/>
        </w:rPr>
      </w:pPr>
      <w:r>
        <w:rPr>
          <w:rFonts w:ascii="Arial" w:hAnsi="Arial" w:cs="Arial"/>
          <w:sz w:val="20"/>
          <w:szCs w:val="20"/>
        </w:rPr>
        <w:t>Technical Services Managers</w:t>
      </w:r>
      <w:r w:rsidRPr="00C93F2A">
        <w:rPr>
          <w:rFonts w:ascii="Arial" w:hAnsi="Arial" w:cs="Arial"/>
          <w:sz w:val="20"/>
          <w:szCs w:val="20"/>
        </w:rPr>
        <w:t xml:space="preserve"> </w:t>
      </w:r>
      <w:r w:rsidR="00F72BE0" w:rsidRPr="00C93F2A">
        <w:rPr>
          <w:rFonts w:ascii="Arial" w:hAnsi="Arial" w:cs="Arial"/>
          <w:sz w:val="20"/>
          <w:szCs w:val="20"/>
        </w:rPr>
        <w:t xml:space="preserve">shall, through </w:t>
      </w:r>
      <w:r>
        <w:rPr>
          <w:rFonts w:ascii="Arial" w:hAnsi="Arial" w:cs="Arial"/>
          <w:sz w:val="20"/>
          <w:szCs w:val="20"/>
        </w:rPr>
        <w:t>the departmental meeting p</w:t>
      </w:r>
      <w:r w:rsidR="00F72BE0">
        <w:rPr>
          <w:rFonts w:ascii="Arial" w:hAnsi="Arial" w:cs="Arial"/>
          <w:sz w:val="20"/>
          <w:szCs w:val="20"/>
        </w:rPr>
        <w:t>rogram</w:t>
      </w:r>
      <w:r>
        <w:rPr>
          <w:rFonts w:ascii="Arial" w:hAnsi="Arial" w:cs="Arial"/>
          <w:sz w:val="20"/>
          <w:szCs w:val="20"/>
        </w:rPr>
        <w:t>me</w:t>
      </w:r>
      <w:r w:rsidR="00F72BE0">
        <w:rPr>
          <w:rFonts w:ascii="Arial" w:hAnsi="Arial" w:cs="Arial"/>
          <w:sz w:val="20"/>
          <w:szCs w:val="20"/>
        </w:rPr>
        <w:t xml:space="preserve">, meeting minutes, </w:t>
      </w:r>
      <w:r w:rsidR="00F72BE0" w:rsidRPr="00C93F2A">
        <w:rPr>
          <w:rFonts w:ascii="Arial" w:hAnsi="Arial" w:cs="Arial"/>
          <w:sz w:val="20"/>
          <w:szCs w:val="20"/>
        </w:rPr>
        <w:t xml:space="preserve">memo’s, notice boards, etc, communicate </w:t>
      </w:r>
      <w:r w:rsidR="00F72BE0">
        <w:rPr>
          <w:rFonts w:ascii="Arial" w:hAnsi="Arial" w:cs="Arial"/>
          <w:sz w:val="20"/>
          <w:szCs w:val="20"/>
        </w:rPr>
        <w:t>complaints</w:t>
      </w:r>
      <w:r w:rsidR="00F72BE0" w:rsidRPr="00C93F2A">
        <w:rPr>
          <w:rFonts w:ascii="Arial" w:hAnsi="Arial" w:cs="Arial"/>
          <w:sz w:val="20"/>
          <w:szCs w:val="20"/>
        </w:rPr>
        <w:t>, and where appropriate, control measures, including impl</w:t>
      </w:r>
      <w:r>
        <w:rPr>
          <w:rFonts w:ascii="Arial" w:hAnsi="Arial" w:cs="Arial"/>
          <w:sz w:val="20"/>
          <w:szCs w:val="20"/>
        </w:rPr>
        <w:t>emented corrective actions, to departmental staff when appropriate.</w:t>
      </w:r>
    </w:p>
    <w:p w:rsidR="00515FDD" w:rsidRDefault="00E92F5E" w:rsidP="00515FDD">
      <w:pPr>
        <w:numPr>
          <w:ilvl w:val="0"/>
          <w:numId w:val="6"/>
        </w:numPr>
        <w:tabs>
          <w:tab w:val="clear" w:pos="720"/>
          <w:tab w:val="num" w:pos="330"/>
        </w:tabs>
        <w:spacing w:after="120" w:line="240" w:lineRule="auto"/>
        <w:ind w:left="330" w:hanging="330"/>
        <w:jc w:val="both"/>
        <w:rPr>
          <w:rFonts w:ascii="Arial" w:hAnsi="Arial" w:cs="Arial"/>
          <w:sz w:val="20"/>
          <w:szCs w:val="20"/>
        </w:rPr>
      </w:pPr>
      <w:r>
        <w:rPr>
          <w:rFonts w:ascii="Arial" w:hAnsi="Arial" w:cs="Arial"/>
          <w:sz w:val="20"/>
          <w:szCs w:val="20"/>
        </w:rPr>
        <w:t xml:space="preserve">Summary conclusions </w:t>
      </w:r>
      <w:r w:rsidR="00515FDD" w:rsidRPr="00120E1F">
        <w:rPr>
          <w:rFonts w:ascii="Arial" w:hAnsi="Arial" w:cs="Arial"/>
          <w:sz w:val="20"/>
          <w:szCs w:val="20"/>
        </w:rPr>
        <w:t>of complaints shall form a standing agenda item of the Annual Management Review.</w:t>
      </w:r>
    </w:p>
    <w:p w:rsidR="00621B5E" w:rsidRPr="00C362C8" w:rsidRDefault="00515FDD" w:rsidP="00621B5E">
      <w:pPr>
        <w:pStyle w:val="Heading3"/>
        <w:spacing w:line="240" w:lineRule="auto"/>
        <w:rPr>
          <w:kern w:val="32"/>
        </w:rPr>
      </w:pPr>
      <w:r>
        <w:rPr>
          <w:kern w:val="32"/>
        </w:rPr>
        <w:t>3.6.1</w:t>
      </w:r>
      <w:r w:rsidR="00621B5E">
        <w:rPr>
          <w:kern w:val="32"/>
        </w:rPr>
        <w:t xml:space="preserve"> </w:t>
      </w:r>
      <w:r w:rsidR="00621B5E" w:rsidRPr="00C362C8">
        <w:rPr>
          <w:kern w:val="32"/>
        </w:rPr>
        <w:t xml:space="preserve">Investigation of </w:t>
      </w:r>
      <w:r>
        <w:rPr>
          <w:kern w:val="32"/>
        </w:rPr>
        <w:t>Complaints</w:t>
      </w:r>
      <w:r w:rsidR="00621B5E" w:rsidRPr="00C362C8">
        <w:rPr>
          <w:kern w:val="32"/>
        </w:rPr>
        <w:t xml:space="preserve"> - Root Cause Analysis</w:t>
      </w:r>
    </w:p>
    <w:p w:rsidR="00FC431D" w:rsidRPr="00024AA1" w:rsidRDefault="00FA7614" w:rsidP="00024AA1">
      <w:pPr>
        <w:pStyle w:val="Heading3"/>
        <w:spacing w:line="240" w:lineRule="auto"/>
        <w:rPr>
          <w:b w:val="0"/>
          <w:sz w:val="20"/>
          <w:szCs w:val="20"/>
        </w:rPr>
      </w:pPr>
      <w:r w:rsidRPr="00C242ED">
        <w:rPr>
          <w:b w:val="0"/>
          <w:sz w:val="20"/>
          <w:szCs w:val="20"/>
        </w:rPr>
        <w:t>Root cause analysis is a structured investigation that aims to identify the true cause(s) of a problem, via its contributory factors, and the actions necessary to eliminate it</w:t>
      </w:r>
      <w:r w:rsidRPr="00024AA1">
        <w:rPr>
          <w:b w:val="0"/>
          <w:sz w:val="20"/>
          <w:szCs w:val="20"/>
        </w:rPr>
        <w:t xml:space="preserve">. </w:t>
      </w:r>
      <w:r w:rsidR="00024AA1" w:rsidRPr="00024AA1">
        <w:rPr>
          <w:b w:val="0"/>
          <w:sz w:val="20"/>
          <w:szCs w:val="20"/>
        </w:rPr>
        <w:t xml:space="preserve"> </w:t>
      </w:r>
      <w:r w:rsidRPr="00024AA1">
        <w:rPr>
          <w:b w:val="0"/>
          <w:sz w:val="20"/>
          <w:szCs w:val="20"/>
        </w:rPr>
        <w:t>See also</w:t>
      </w:r>
      <w:r w:rsidR="00024AA1">
        <w:rPr>
          <w:b w:val="0"/>
          <w:sz w:val="20"/>
          <w:szCs w:val="20"/>
        </w:rPr>
        <w:t xml:space="preserve"> </w:t>
      </w:r>
      <w:r w:rsidRPr="00ED5879">
        <w:rPr>
          <w:sz w:val="20"/>
          <w:szCs w:val="20"/>
        </w:rPr>
        <w:t>LI-CG</w:t>
      </w:r>
      <w:r>
        <w:rPr>
          <w:sz w:val="20"/>
          <w:szCs w:val="20"/>
        </w:rPr>
        <w:t>E</w:t>
      </w:r>
      <w:r w:rsidRPr="00ED5879">
        <w:rPr>
          <w:sz w:val="20"/>
          <w:szCs w:val="20"/>
        </w:rPr>
        <w:t xml:space="preserve">N-020 – </w:t>
      </w:r>
      <w:r w:rsidRPr="00024AA1">
        <w:rPr>
          <w:b w:val="0"/>
          <w:sz w:val="20"/>
          <w:szCs w:val="20"/>
        </w:rPr>
        <w:t>Root Cause Analysis – Investigation Procedures</w:t>
      </w:r>
    </w:p>
    <w:p w:rsidR="00FC431D" w:rsidRDefault="00FC431D" w:rsidP="002B2E41">
      <w:pPr>
        <w:pStyle w:val="Heading1"/>
        <w:rPr>
          <w:i/>
        </w:rPr>
      </w:pPr>
      <w:bookmarkStart w:id="33" w:name="_Toc97560768"/>
      <w:bookmarkStart w:id="34" w:name="_Toc222466710"/>
      <w:bookmarkEnd w:id="2"/>
      <w:bookmarkEnd w:id="3"/>
      <w:bookmarkEnd w:id="4"/>
      <w:bookmarkEnd w:id="5"/>
      <w:bookmarkEnd w:id="6"/>
      <w:bookmarkEnd w:id="7"/>
      <w:bookmarkEnd w:id="8"/>
      <w:bookmarkEnd w:id="20"/>
      <w:r w:rsidRPr="00120E1F">
        <w:t>4.</w:t>
      </w:r>
      <w:r w:rsidR="001A662F">
        <w:t xml:space="preserve">0 </w:t>
      </w:r>
      <w:r w:rsidRPr="00120E1F">
        <w:t>Complaints Report</w:t>
      </w:r>
      <w:r w:rsidR="00F72BE0">
        <w:t>ing</w:t>
      </w:r>
      <w:bookmarkEnd w:id="33"/>
      <w:bookmarkEnd w:id="34"/>
    </w:p>
    <w:p w:rsidR="00C242ED" w:rsidRDefault="00FC431D" w:rsidP="00FC431D">
      <w:pPr>
        <w:pStyle w:val="Heading2"/>
        <w:rPr>
          <w:i w:val="0"/>
        </w:rPr>
      </w:pPr>
      <w:bookmarkStart w:id="35" w:name="_Toc222466711"/>
      <w:r w:rsidRPr="00120E1F">
        <w:rPr>
          <w:i w:val="0"/>
        </w:rPr>
        <w:t>4.</w:t>
      </w:r>
      <w:r w:rsidR="002B2E41">
        <w:rPr>
          <w:i w:val="0"/>
        </w:rPr>
        <w:t>1</w:t>
      </w:r>
      <w:r w:rsidRPr="00120E1F">
        <w:rPr>
          <w:i w:val="0"/>
        </w:rPr>
        <w:t xml:space="preserve"> </w:t>
      </w:r>
      <w:r w:rsidR="00C242ED">
        <w:rPr>
          <w:i w:val="0"/>
        </w:rPr>
        <w:t>Reporting via Q</w:t>
      </w:r>
      <w:r w:rsidR="006F1096">
        <w:rPr>
          <w:i w:val="0"/>
        </w:rPr>
        <w:t>-</w:t>
      </w:r>
      <w:r w:rsidR="00C242ED">
        <w:rPr>
          <w:i w:val="0"/>
        </w:rPr>
        <w:t>Pulse</w:t>
      </w:r>
      <w:bookmarkEnd w:id="35"/>
    </w:p>
    <w:p w:rsidR="00C242ED" w:rsidRDefault="00C242ED" w:rsidP="00C242ED">
      <w:pPr>
        <w:jc w:val="both"/>
        <w:rPr>
          <w:rFonts w:ascii="Arial" w:hAnsi="Arial" w:cs="Arial"/>
          <w:sz w:val="20"/>
          <w:szCs w:val="20"/>
        </w:rPr>
      </w:pPr>
      <w:r>
        <w:rPr>
          <w:rFonts w:ascii="Arial" w:hAnsi="Arial" w:cs="Arial"/>
          <w:sz w:val="20"/>
          <w:szCs w:val="20"/>
        </w:rPr>
        <w:t>The Q</w:t>
      </w:r>
      <w:r w:rsidR="006F1096">
        <w:rPr>
          <w:rFonts w:ascii="Arial" w:hAnsi="Arial" w:cs="Arial"/>
          <w:sz w:val="20"/>
          <w:szCs w:val="20"/>
        </w:rPr>
        <w:t>-</w:t>
      </w:r>
      <w:r>
        <w:rPr>
          <w:rFonts w:ascii="Arial" w:hAnsi="Arial" w:cs="Arial"/>
          <w:sz w:val="20"/>
          <w:szCs w:val="20"/>
        </w:rPr>
        <w:t>Pulse CAPA (Corrective and Preventive Action) Module is used to facilitate direct reporting of service complaints</w:t>
      </w:r>
      <w:r w:rsidR="00F02A59">
        <w:rPr>
          <w:rFonts w:ascii="Arial" w:hAnsi="Arial" w:cs="Arial"/>
          <w:sz w:val="20"/>
          <w:szCs w:val="20"/>
        </w:rPr>
        <w:t xml:space="preserve"> via the</w:t>
      </w:r>
      <w:r>
        <w:rPr>
          <w:rFonts w:ascii="Arial" w:hAnsi="Arial" w:cs="Arial"/>
          <w:sz w:val="20"/>
          <w:szCs w:val="20"/>
        </w:rPr>
        <w:t xml:space="preserve"> “Complaints</w:t>
      </w:r>
      <w:r w:rsidR="005C1641">
        <w:rPr>
          <w:rFonts w:ascii="Arial" w:hAnsi="Arial" w:cs="Arial"/>
          <w:sz w:val="20"/>
          <w:szCs w:val="20"/>
        </w:rPr>
        <w:t>” wizard.</w:t>
      </w:r>
    </w:p>
    <w:p w:rsidR="00C242ED" w:rsidRPr="00120E1F" w:rsidRDefault="00C242ED" w:rsidP="00C242ED">
      <w:pPr>
        <w:jc w:val="both"/>
        <w:rPr>
          <w:rFonts w:ascii="Arial" w:hAnsi="Arial" w:cs="Arial"/>
          <w:sz w:val="20"/>
          <w:szCs w:val="20"/>
        </w:rPr>
      </w:pPr>
      <w:r w:rsidRPr="00120E1F">
        <w:rPr>
          <w:rFonts w:ascii="Arial" w:hAnsi="Arial" w:cs="Arial"/>
          <w:sz w:val="20"/>
          <w:szCs w:val="20"/>
        </w:rPr>
        <w:t>This</w:t>
      </w:r>
      <w:r w:rsidR="004B1C14">
        <w:rPr>
          <w:rFonts w:ascii="Arial" w:hAnsi="Arial" w:cs="Arial"/>
          <w:sz w:val="20"/>
          <w:szCs w:val="20"/>
        </w:rPr>
        <w:t xml:space="preserve"> below information should be recorded</w:t>
      </w:r>
      <w:r w:rsidR="005C1641">
        <w:rPr>
          <w:rFonts w:ascii="Arial" w:hAnsi="Arial" w:cs="Arial"/>
          <w:sz w:val="20"/>
          <w:szCs w:val="20"/>
        </w:rPr>
        <w:t xml:space="preserve"> in the NC</w:t>
      </w:r>
      <w:r w:rsidRPr="00120E1F">
        <w:rPr>
          <w:rFonts w:ascii="Arial" w:hAnsi="Arial" w:cs="Arial"/>
          <w:sz w:val="20"/>
          <w:szCs w:val="20"/>
        </w:rPr>
        <w:t>:</w:t>
      </w:r>
    </w:p>
    <w:p w:rsidR="00C242ED" w:rsidRPr="00120E1F" w:rsidRDefault="00C242ED" w:rsidP="00C242ED">
      <w:pPr>
        <w:numPr>
          <w:ilvl w:val="0"/>
          <w:numId w:val="7"/>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Date of Complaint,</w:t>
      </w:r>
    </w:p>
    <w:p w:rsidR="00C242ED" w:rsidRPr="00120E1F" w:rsidRDefault="00C242ED" w:rsidP="00C242ED">
      <w:pPr>
        <w:numPr>
          <w:ilvl w:val="0"/>
          <w:numId w:val="7"/>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Name, Designation and Contact Details of the complainant,</w:t>
      </w:r>
    </w:p>
    <w:p w:rsidR="00C242ED" w:rsidRPr="00120E1F" w:rsidRDefault="00C242ED" w:rsidP="00C242ED">
      <w:pPr>
        <w:numPr>
          <w:ilvl w:val="0"/>
          <w:numId w:val="7"/>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Nature of the complaint, including, if applicable, date and details of incident,</w:t>
      </w:r>
    </w:p>
    <w:p w:rsidR="00C242ED" w:rsidRPr="00120E1F" w:rsidRDefault="00C242ED" w:rsidP="00C242ED">
      <w:pPr>
        <w:numPr>
          <w:ilvl w:val="0"/>
          <w:numId w:val="7"/>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Acknowledgement written – Yes/No, and Date,</w:t>
      </w:r>
    </w:p>
    <w:p w:rsidR="00C242ED" w:rsidRPr="00120E1F" w:rsidRDefault="00C242ED" w:rsidP="00C242ED">
      <w:pPr>
        <w:numPr>
          <w:ilvl w:val="0"/>
          <w:numId w:val="7"/>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Investigation(s) performed,</w:t>
      </w:r>
      <w:r>
        <w:rPr>
          <w:rFonts w:ascii="Arial" w:hAnsi="Arial" w:cs="Arial"/>
          <w:sz w:val="20"/>
          <w:szCs w:val="20"/>
        </w:rPr>
        <w:t xml:space="preserve"> </w:t>
      </w:r>
      <w:r w:rsidRPr="00120E1F">
        <w:rPr>
          <w:rFonts w:ascii="Arial" w:hAnsi="Arial" w:cs="Arial"/>
          <w:sz w:val="20"/>
          <w:szCs w:val="20"/>
        </w:rPr>
        <w:t>Outcome(s) of Investigations,</w:t>
      </w:r>
      <w:r>
        <w:rPr>
          <w:rFonts w:ascii="Arial" w:hAnsi="Arial" w:cs="Arial"/>
          <w:sz w:val="20"/>
          <w:szCs w:val="20"/>
        </w:rPr>
        <w:t xml:space="preserve"> and, </w:t>
      </w:r>
      <w:r w:rsidRPr="00120E1F">
        <w:rPr>
          <w:rFonts w:ascii="Arial" w:hAnsi="Arial" w:cs="Arial"/>
          <w:sz w:val="20"/>
          <w:szCs w:val="20"/>
        </w:rPr>
        <w:t xml:space="preserve">Corrective </w:t>
      </w:r>
      <w:r>
        <w:rPr>
          <w:rFonts w:ascii="Arial" w:hAnsi="Arial" w:cs="Arial"/>
          <w:sz w:val="20"/>
          <w:szCs w:val="20"/>
        </w:rPr>
        <w:t xml:space="preserve">/ Preventative </w:t>
      </w:r>
      <w:r w:rsidRPr="00120E1F">
        <w:rPr>
          <w:rFonts w:ascii="Arial" w:hAnsi="Arial" w:cs="Arial"/>
          <w:sz w:val="20"/>
          <w:szCs w:val="20"/>
        </w:rPr>
        <w:t>Actions,</w:t>
      </w:r>
    </w:p>
    <w:p w:rsidR="00C242ED" w:rsidRDefault="00C242ED" w:rsidP="00C242ED">
      <w:pPr>
        <w:numPr>
          <w:ilvl w:val="0"/>
          <w:numId w:val="7"/>
        </w:numPr>
        <w:tabs>
          <w:tab w:val="clear" w:pos="720"/>
          <w:tab w:val="num" w:pos="330"/>
        </w:tabs>
        <w:spacing w:after="120" w:line="240" w:lineRule="auto"/>
        <w:ind w:left="330" w:hanging="330"/>
        <w:jc w:val="both"/>
        <w:rPr>
          <w:rFonts w:ascii="Arial" w:hAnsi="Arial" w:cs="Arial"/>
          <w:sz w:val="20"/>
          <w:szCs w:val="20"/>
        </w:rPr>
      </w:pPr>
      <w:r w:rsidRPr="00120E1F">
        <w:rPr>
          <w:rFonts w:ascii="Arial" w:hAnsi="Arial" w:cs="Arial"/>
          <w:sz w:val="20"/>
          <w:szCs w:val="20"/>
        </w:rPr>
        <w:t>Conclusion letter written to complainant – Yes/No, and Date,</w:t>
      </w:r>
    </w:p>
    <w:p w:rsidR="00C242ED" w:rsidRPr="00120E1F" w:rsidRDefault="00C242ED" w:rsidP="00C242ED">
      <w:pPr>
        <w:numPr>
          <w:ilvl w:val="0"/>
          <w:numId w:val="7"/>
        </w:numPr>
        <w:tabs>
          <w:tab w:val="clear" w:pos="720"/>
          <w:tab w:val="num" w:pos="330"/>
        </w:tabs>
        <w:spacing w:after="120" w:line="240" w:lineRule="auto"/>
        <w:ind w:left="330" w:hanging="330"/>
        <w:jc w:val="both"/>
        <w:rPr>
          <w:rFonts w:ascii="Arial" w:hAnsi="Arial" w:cs="Arial"/>
          <w:sz w:val="20"/>
          <w:szCs w:val="20"/>
        </w:rPr>
      </w:pPr>
      <w:r>
        <w:rPr>
          <w:rFonts w:ascii="Arial" w:hAnsi="Arial" w:cs="Arial"/>
          <w:sz w:val="20"/>
          <w:szCs w:val="20"/>
        </w:rPr>
        <w:t>Review at Departmental Quality Group Meeting</w:t>
      </w:r>
      <w:r w:rsidR="006F1096">
        <w:rPr>
          <w:rFonts w:ascii="Arial" w:hAnsi="Arial" w:cs="Arial"/>
          <w:sz w:val="20"/>
          <w:szCs w:val="20"/>
        </w:rPr>
        <w:t xml:space="preserve"> and HMT</w:t>
      </w:r>
      <w:r>
        <w:rPr>
          <w:rFonts w:ascii="Arial" w:hAnsi="Arial" w:cs="Arial"/>
          <w:sz w:val="20"/>
          <w:szCs w:val="20"/>
        </w:rPr>
        <w:t xml:space="preserve"> - </w:t>
      </w:r>
      <w:r w:rsidRPr="00120E1F">
        <w:rPr>
          <w:rFonts w:ascii="Arial" w:hAnsi="Arial" w:cs="Arial"/>
          <w:sz w:val="20"/>
          <w:szCs w:val="20"/>
        </w:rPr>
        <w:t>Yes/No, and Date,</w:t>
      </w:r>
    </w:p>
    <w:p w:rsidR="00FC431D" w:rsidRPr="00120E1F" w:rsidRDefault="002B2E41" w:rsidP="00FC431D">
      <w:pPr>
        <w:pStyle w:val="Heading2"/>
        <w:rPr>
          <w:i w:val="0"/>
        </w:rPr>
      </w:pPr>
      <w:bookmarkStart w:id="36" w:name="_Toc222466712"/>
      <w:r>
        <w:rPr>
          <w:i w:val="0"/>
        </w:rPr>
        <w:t>4.2</w:t>
      </w:r>
      <w:r w:rsidR="00C242ED">
        <w:rPr>
          <w:i w:val="0"/>
        </w:rPr>
        <w:t xml:space="preserve"> </w:t>
      </w:r>
      <w:r w:rsidR="00FC431D" w:rsidRPr="00120E1F">
        <w:rPr>
          <w:i w:val="0"/>
        </w:rPr>
        <w:t>Reporting via DATIX (Incident Management System)</w:t>
      </w:r>
      <w:r w:rsidR="001858E4">
        <w:rPr>
          <w:i w:val="0"/>
        </w:rPr>
        <w:t xml:space="preserve"> and Significant Adverse Events (SAE)</w:t>
      </w:r>
      <w:bookmarkEnd w:id="36"/>
    </w:p>
    <w:p w:rsidR="00FC431D" w:rsidRPr="00120E1F" w:rsidRDefault="00FC431D" w:rsidP="00FC431D">
      <w:pPr>
        <w:jc w:val="both"/>
        <w:rPr>
          <w:rFonts w:ascii="Arial" w:hAnsi="Arial" w:cs="Arial"/>
          <w:sz w:val="20"/>
          <w:szCs w:val="20"/>
        </w:rPr>
      </w:pPr>
      <w:r w:rsidRPr="00120E1F">
        <w:rPr>
          <w:rFonts w:ascii="Arial" w:hAnsi="Arial" w:cs="Arial"/>
          <w:sz w:val="20"/>
          <w:szCs w:val="20"/>
        </w:rPr>
        <w:t>For complaints directly relating to the clinical care of patients, staff are instructed to raise complaints via the DATIX on-line Incident Management System</w:t>
      </w:r>
      <w:r w:rsidR="001858E4">
        <w:rPr>
          <w:rFonts w:ascii="Arial" w:hAnsi="Arial" w:cs="Arial"/>
          <w:sz w:val="20"/>
          <w:szCs w:val="20"/>
        </w:rPr>
        <w:t xml:space="preserve"> and initiate SAE procedures if necessary</w:t>
      </w:r>
      <w:r w:rsidRPr="00120E1F">
        <w:rPr>
          <w:rFonts w:ascii="Arial" w:hAnsi="Arial" w:cs="Arial"/>
          <w:sz w:val="20"/>
          <w:szCs w:val="20"/>
        </w:rPr>
        <w:t xml:space="preserve">. For procedural instructions, please refer to </w:t>
      </w:r>
      <w:r w:rsidR="00515FDD" w:rsidRPr="00515FDD">
        <w:rPr>
          <w:rFonts w:ascii="Arial" w:hAnsi="Arial" w:cs="Arial"/>
          <w:b/>
          <w:sz w:val="20"/>
          <w:szCs w:val="20"/>
        </w:rPr>
        <w:t>MP-CGEN-005</w:t>
      </w:r>
      <w:r w:rsidR="00515FDD">
        <w:rPr>
          <w:rFonts w:ascii="Arial" w:hAnsi="Arial" w:cs="Arial"/>
          <w:sz w:val="20"/>
          <w:szCs w:val="20"/>
        </w:rPr>
        <w:t>.</w:t>
      </w:r>
    </w:p>
    <w:sectPr w:rsidR="00FC431D" w:rsidRPr="00120E1F" w:rsidSect="00092FCE">
      <w:headerReference w:type="default" r:id="rId10"/>
      <w:footerReference w:type="default" r:id="rId11"/>
      <w:pgSz w:w="11906" w:h="16838"/>
      <w:pgMar w:top="984" w:right="1134" w:bottom="899" w:left="1134" w:header="568"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A47" w:rsidRDefault="007B6A47" w:rsidP="00240D8B">
      <w:pPr>
        <w:spacing w:after="0" w:line="240" w:lineRule="auto"/>
      </w:pPr>
      <w:r>
        <w:separator/>
      </w:r>
    </w:p>
  </w:endnote>
  <w:endnote w:type="continuationSeparator" w:id="0">
    <w:p w:rsidR="007B6A47" w:rsidRDefault="007B6A47" w:rsidP="0024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1"/>
      <w:gridCol w:w="1399"/>
    </w:tblGrid>
    <w:tr w:rsidR="00092FCE" w:rsidTr="00092FCE">
      <w:trPr>
        <w:jc w:val="center"/>
      </w:trPr>
      <w:tc>
        <w:tcPr>
          <w:tcW w:w="9041" w:type="dxa"/>
          <w:tcBorders>
            <w:top w:val="single" w:sz="4" w:space="0" w:color="auto"/>
            <w:left w:val="single" w:sz="4" w:space="0" w:color="auto"/>
            <w:bottom w:val="single" w:sz="4" w:space="0" w:color="auto"/>
            <w:right w:val="single" w:sz="4" w:space="0" w:color="auto"/>
          </w:tcBorders>
          <w:hideMark/>
        </w:tcPr>
        <w:p w:rsidR="00092FCE" w:rsidRDefault="00092FCE" w:rsidP="00092FCE">
          <w:pPr>
            <w:pStyle w:val="Footer"/>
            <w:rPr>
              <w:sz w:val="16"/>
              <w:szCs w:val="16"/>
            </w:rPr>
          </w:pPr>
          <w:r>
            <w:rPr>
              <w:rFonts w:eastAsiaTheme="minorEastAsia"/>
              <w:b/>
              <w:bCs/>
              <w:sz w:val="16"/>
              <w:szCs w:val="16"/>
            </w:rPr>
            <w:t>NON-CONTROLLED HARD-COPIES</w:t>
          </w:r>
          <w:r>
            <w:rPr>
              <w:rFonts w:eastAsiaTheme="minorEastAsia"/>
              <w:sz w:val="16"/>
              <w:szCs w:val="16"/>
            </w:rPr>
            <w:t xml:space="preserve"> are only valid on the day of print - Last printed </w:t>
          </w:r>
          <w:r>
            <w:rPr>
              <w:rFonts w:eastAsiaTheme="minorEastAsia"/>
              <w:sz w:val="16"/>
              <w:szCs w:val="16"/>
            </w:rPr>
            <w:fldChar w:fldCharType="begin"/>
          </w:r>
          <w:r>
            <w:rPr>
              <w:rFonts w:eastAsiaTheme="minorEastAsia"/>
              <w:sz w:val="16"/>
              <w:szCs w:val="16"/>
            </w:rPr>
            <w:instrText xml:space="preserve"> DATE \@ "dd/MM/yyyy HH:mm:ss" </w:instrText>
          </w:r>
          <w:r>
            <w:rPr>
              <w:rFonts w:eastAsiaTheme="minorEastAsia"/>
              <w:sz w:val="16"/>
              <w:szCs w:val="16"/>
            </w:rPr>
            <w:fldChar w:fldCharType="separate"/>
          </w:r>
          <w:r w:rsidR="00F8098E">
            <w:rPr>
              <w:rFonts w:eastAsiaTheme="minorEastAsia"/>
              <w:noProof/>
              <w:sz w:val="16"/>
              <w:szCs w:val="16"/>
            </w:rPr>
            <w:t>25/02/2026 12:56:49</w:t>
          </w:r>
          <w:r>
            <w:rPr>
              <w:rFonts w:eastAsiaTheme="minorEastAsia"/>
              <w:sz w:val="16"/>
              <w:szCs w:val="16"/>
            </w:rPr>
            <w:fldChar w:fldCharType="end"/>
          </w:r>
        </w:p>
      </w:tc>
      <w:tc>
        <w:tcPr>
          <w:tcW w:w="1399" w:type="dxa"/>
          <w:tcBorders>
            <w:top w:val="single" w:sz="4" w:space="0" w:color="auto"/>
            <w:left w:val="single" w:sz="4" w:space="0" w:color="auto"/>
            <w:bottom w:val="single" w:sz="4" w:space="0" w:color="auto"/>
            <w:right w:val="single" w:sz="4" w:space="0" w:color="auto"/>
          </w:tcBorders>
          <w:hideMark/>
        </w:tcPr>
        <w:p w:rsidR="00092FCE" w:rsidRDefault="00092FCE" w:rsidP="00092FCE">
          <w:pPr>
            <w:pStyle w:val="Foo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F8098E">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F8098E">
            <w:rPr>
              <w:noProof/>
              <w:sz w:val="16"/>
              <w:szCs w:val="16"/>
            </w:rPr>
            <w:t>5</w:t>
          </w:r>
          <w:r>
            <w:rPr>
              <w:sz w:val="16"/>
              <w:szCs w:val="16"/>
            </w:rPr>
            <w:fldChar w:fldCharType="end"/>
          </w:r>
        </w:p>
      </w:tc>
    </w:tr>
  </w:tbl>
  <w:p w:rsidR="00D455D5" w:rsidRDefault="00D45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A47" w:rsidRDefault="007B6A47" w:rsidP="00240D8B">
      <w:pPr>
        <w:spacing w:after="0" w:line="240" w:lineRule="auto"/>
      </w:pPr>
      <w:r>
        <w:separator/>
      </w:r>
    </w:p>
  </w:footnote>
  <w:footnote w:type="continuationSeparator" w:id="0">
    <w:p w:rsidR="007B6A47" w:rsidRDefault="007B6A47" w:rsidP="00240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440"/>
      <w:gridCol w:w="1800"/>
      <w:gridCol w:w="1143"/>
      <w:gridCol w:w="3088"/>
      <w:gridCol w:w="1889"/>
    </w:tblGrid>
    <w:tr w:rsidR="00D455D5" w:rsidRPr="00EF0500" w:rsidTr="00092FCE">
      <w:trPr>
        <w:jc w:val="center"/>
      </w:trPr>
      <w:tc>
        <w:tcPr>
          <w:tcW w:w="1080" w:type="dxa"/>
          <w:vMerge w:val="restart"/>
          <w:shd w:val="clear" w:color="auto" w:fill="auto"/>
        </w:tcPr>
        <w:p w:rsidR="00D455D5" w:rsidRPr="00EF0500" w:rsidRDefault="00C242ED" w:rsidP="00060912">
          <w:pPr>
            <w:pStyle w:val="Header"/>
            <w:ind w:firstLine="44"/>
          </w:pPr>
          <w:r>
            <w:rPr>
              <w:rFonts w:ascii="Book Antiqua" w:hAnsi="Book Antiqua" w:cs="Book Antiqua"/>
              <w:b/>
              <w:bCs/>
              <w:noProof/>
              <w:color w:val="FF0000"/>
              <w:lang w:eastAsia="en-GB"/>
            </w:rPr>
            <w:drawing>
              <wp:inline distT="0" distB="0" distL="0" distR="0">
                <wp:extent cx="485775" cy="4953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7471" w:type="dxa"/>
          <w:gridSpan w:val="4"/>
          <w:shd w:val="clear" w:color="auto" w:fill="auto"/>
        </w:tcPr>
        <w:p w:rsidR="00D455D5" w:rsidRPr="00EF0500" w:rsidRDefault="00D455D5">
          <w:pPr>
            <w:pStyle w:val="Header"/>
            <w:rPr>
              <w:sz w:val="16"/>
              <w:szCs w:val="16"/>
            </w:rPr>
          </w:pPr>
          <w:r>
            <w:rPr>
              <w:sz w:val="16"/>
              <w:szCs w:val="16"/>
            </w:rPr>
            <w:t xml:space="preserve">Acute Services Division, Diagnostics, </w:t>
          </w:r>
          <w:r w:rsidRPr="00EF0500">
            <w:rPr>
              <w:sz w:val="16"/>
              <w:szCs w:val="16"/>
            </w:rPr>
            <w:t>Departmen</w:t>
          </w:r>
          <w:r>
            <w:rPr>
              <w:sz w:val="16"/>
              <w:szCs w:val="16"/>
            </w:rPr>
            <w:t xml:space="preserve">t of Haematology - </w:t>
          </w:r>
          <w:smartTag w:uri="urn:schemas-microsoft-com:office:smarttags" w:element="place">
            <w:r>
              <w:rPr>
                <w:sz w:val="16"/>
                <w:szCs w:val="16"/>
              </w:rPr>
              <w:t>Clyde</w:t>
            </w:r>
          </w:smartTag>
          <w:r>
            <w:rPr>
              <w:sz w:val="16"/>
              <w:szCs w:val="16"/>
            </w:rPr>
            <w:t xml:space="preserve"> Sector</w:t>
          </w:r>
        </w:p>
      </w:tc>
      <w:tc>
        <w:tcPr>
          <w:tcW w:w="1889" w:type="dxa"/>
          <w:vMerge w:val="restart"/>
          <w:shd w:val="clear" w:color="auto" w:fill="auto"/>
        </w:tcPr>
        <w:p w:rsidR="00D455D5" w:rsidRPr="00EF0500" w:rsidRDefault="00D455D5" w:rsidP="00240D8B">
          <w:pPr>
            <w:pStyle w:val="Header"/>
            <w:rPr>
              <w:sz w:val="28"/>
              <w:szCs w:val="28"/>
            </w:rPr>
          </w:pPr>
          <w:r>
            <w:rPr>
              <w:sz w:val="28"/>
              <w:szCs w:val="28"/>
            </w:rPr>
            <w:t>MP-CGEN</w:t>
          </w:r>
          <w:r w:rsidRPr="00EF0500">
            <w:rPr>
              <w:sz w:val="28"/>
              <w:szCs w:val="28"/>
            </w:rPr>
            <w:t>-</w:t>
          </w:r>
          <w:r>
            <w:rPr>
              <w:sz w:val="28"/>
              <w:szCs w:val="28"/>
            </w:rPr>
            <w:t>00</w:t>
          </w:r>
          <w:r w:rsidR="0046535F">
            <w:rPr>
              <w:sz w:val="28"/>
              <w:szCs w:val="28"/>
            </w:rPr>
            <w:t>6</w:t>
          </w:r>
        </w:p>
      </w:tc>
    </w:tr>
    <w:tr w:rsidR="00D455D5" w:rsidRPr="00435A7A" w:rsidTr="00092FCE">
      <w:trPr>
        <w:jc w:val="center"/>
      </w:trPr>
      <w:tc>
        <w:tcPr>
          <w:tcW w:w="1080" w:type="dxa"/>
          <w:vMerge/>
          <w:shd w:val="clear" w:color="auto" w:fill="auto"/>
        </w:tcPr>
        <w:p w:rsidR="00D455D5" w:rsidRPr="00EF0500" w:rsidRDefault="00D455D5">
          <w:pPr>
            <w:pStyle w:val="Header"/>
          </w:pPr>
        </w:p>
      </w:tc>
      <w:tc>
        <w:tcPr>
          <w:tcW w:w="7471" w:type="dxa"/>
          <w:gridSpan w:val="4"/>
          <w:shd w:val="clear" w:color="auto" w:fill="auto"/>
        </w:tcPr>
        <w:p w:rsidR="00D455D5" w:rsidRPr="00435A7A" w:rsidRDefault="00D455D5" w:rsidP="00A45529">
          <w:pPr>
            <w:pStyle w:val="Header"/>
            <w:rPr>
              <w:sz w:val="16"/>
              <w:szCs w:val="16"/>
            </w:rPr>
          </w:pPr>
          <w:r w:rsidRPr="00435A7A">
            <w:rPr>
              <w:sz w:val="16"/>
              <w:szCs w:val="16"/>
            </w:rPr>
            <w:t xml:space="preserve">MANAGEMENT POLICY – </w:t>
          </w:r>
          <w:r w:rsidR="00A45529">
            <w:rPr>
              <w:sz w:val="16"/>
              <w:szCs w:val="16"/>
            </w:rPr>
            <w:t>Complaints Policy</w:t>
          </w:r>
        </w:p>
      </w:tc>
      <w:tc>
        <w:tcPr>
          <w:tcW w:w="1889" w:type="dxa"/>
          <w:vMerge/>
          <w:shd w:val="clear" w:color="auto" w:fill="auto"/>
        </w:tcPr>
        <w:p w:rsidR="00D455D5" w:rsidRPr="00435A7A" w:rsidRDefault="00D455D5" w:rsidP="002C3002">
          <w:pPr>
            <w:pStyle w:val="Header"/>
            <w:rPr>
              <w:sz w:val="16"/>
              <w:szCs w:val="16"/>
            </w:rPr>
          </w:pPr>
        </w:p>
      </w:tc>
    </w:tr>
    <w:tr w:rsidR="00D455D5" w:rsidRPr="00EF0500" w:rsidTr="00092FCE">
      <w:trPr>
        <w:trHeight w:val="156"/>
        <w:jc w:val="center"/>
      </w:trPr>
      <w:tc>
        <w:tcPr>
          <w:tcW w:w="1080" w:type="dxa"/>
          <w:vMerge/>
          <w:shd w:val="clear" w:color="auto" w:fill="auto"/>
        </w:tcPr>
        <w:p w:rsidR="00D455D5" w:rsidRPr="00435A7A" w:rsidRDefault="00D455D5">
          <w:pPr>
            <w:pStyle w:val="Header"/>
            <w:rPr>
              <w:sz w:val="16"/>
              <w:szCs w:val="16"/>
            </w:rPr>
          </w:pPr>
        </w:p>
      </w:tc>
      <w:tc>
        <w:tcPr>
          <w:tcW w:w="1440" w:type="dxa"/>
          <w:shd w:val="clear" w:color="auto" w:fill="auto"/>
        </w:tcPr>
        <w:p w:rsidR="00D455D5" w:rsidRPr="00EF0500" w:rsidRDefault="001858E4">
          <w:pPr>
            <w:pStyle w:val="Header"/>
            <w:rPr>
              <w:sz w:val="16"/>
              <w:szCs w:val="16"/>
            </w:rPr>
          </w:pPr>
          <w:r>
            <w:rPr>
              <w:sz w:val="16"/>
              <w:szCs w:val="16"/>
            </w:rPr>
            <w:t>Owner</w:t>
          </w:r>
        </w:p>
      </w:tc>
      <w:tc>
        <w:tcPr>
          <w:tcW w:w="1800" w:type="dxa"/>
          <w:shd w:val="clear" w:color="auto" w:fill="auto"/>
        </w:tcPr>
        <w:p w:rsidR="00D455D5" w:rsidRPr="00EF0500" w:rsidRDefault="001858E4">
          <w:pPr>
            <w:pStyle w:val="Header"/>
            <w:rPr>
              <w:sz w:val="16"/>
              <w:szCs w:val="16"/>
            </w:rPr>
          </w:pPr>
          <w:r>
            <w:rPr>
              <w:sz w:val="16"/>
              <w:szCs w:val="16"/>
            </w:rPr>
            <w:t>M. Wight</w:t>
          </w:r>
        </w:p>
      </w:tc>
      <w:tc>
        <w:tcPr>
          <w:tcW w:w="1143" w:type="dxa"/>
          <w:shd w:val="clear" w:color="auto" w:fill="auto"/>
        </w:tcPr>
        <w:p w:rsidR="00D455D5" w:rsidRPr="00EF0500" w:rsidRDefault="00D455D5">
          <w:pPr>
            <w:pStyle w:val="Header"/>
            <w:rPr>
              <w:sz w:val="16"/>
              <w:szCs w:val="16"/>
            </w:rPr>
          </w:pPr>
          <w:r>
            <w:rPr>
              <w:sz w:val="16"/>
              <w:szCs w:val="16"/>
            </w:rPr>
            <w:t>Reviewer</w:t>
          </w:r>
        </w:p>
      </w:tc>
      <w:tc>
        <w:tcPr>
          <w:tcW w:w="3088" w:type="dxa"/>
          <w:shd w:val="clear" w:color="auto" w:fill="auto"/>
        </w:tcPr>
        <w:p w:rsidR="00D455D5" w:rsidRPr="00EF0500" w:rsidRDefault="001858E4">
          <w:pPr>
            <w:pStyle w:val="Header"/>
            <w:rPr>
              <w:sz w:val="16"/>
              <w:szCs w:val="16"/>
            </w:rPr>
          </w:pPr>
          <w:r>
            <w:rPr>
              <w:sz w:val="16"/>
              <w:szCs w:val="16"/>
            </w:rPr>
            <w:t>R. Anderson</w:t>
          </w:r>
        </w:p>
      </w:tc>
      <w:tc>
        <w:tcPr>
          <w:tcW w:w="1889" w:type="dxa"/>
          <w:vMerge w:val="restart"/>
          <w:shd w:val="clear" w:color="auto" w:fill="auto"/>
        </w:tcPr>
        <w:p w:rsidR="00D455D5" w:rsidRPr="009449AF" w:rsidRDefault="00D455D5" w:rsidP="00C242ED">
          <w:pPr>
            <w:pStyle w:val="Header"/>
            <w:rPr>
              <w:sz w:val="24"/>
              <w:szCs w:val="24"/>
            </w:rPr>
          </w:pPr>
          <w:r w:rsidRPr="009449AF">
            <w:rPr>
              <w:sz w:val="24"/>
              <w:szCs w:val="24"/>
            </w:rPr>
            <w:t xml:space="preserve">Version No - </w:t>
          </w:r>
          <w:r w:rsidR="004535FA">
            <w:rPr>
              <w:sz w:val="24"/>
              <w:szCs w:val="24"/>
            </w:rPr>
            <w:t>9</w:t>
          </w:r>
        </w:p>
      </w:tc>
    </w:tr>
    <w:tr w:rsidR="00D455D5" w:rsidRPr="00EF0500" w:rsidTr="00092FCE">
      <w:trPr>
        <w:trHeight w:val="156"/>
        <w:jc w:val="center"/>
      </w:trPr>
      <w:tc>
        <w:tcPr>
          <w:tcW w:w="1080" w:type="dxa"/>
          <w:vMerge/>
          <w:shd w:val="clear" w:color="auto" w:fill="auto"/>
        </w:tcPr>
        <w:p w:rsidR="00D455D5" w:rsidRPr="00EF0500" w:rsidRDefault="00D455D5">
          <w:pPr>
            <w:pStyle w:val="Header"/>
            <w:rPr>
              <w:sz w:val="16"/>
              <w:szCs w:val="16"/>
            </w:rPr>
          </w:pPr>
        </w:p>
      </w:tc>
      <w:tc>
        <w:tcPr>
          <w:tcW w:w="1440" w:type="dxa"/>
          <w:shd w:val="clear" w:color="auto" w:fill="auto"/>
        </w:tcPr>
        <w:p w:rsidR="00D455D5" w:rsidRPr="00EF0500" w:rsidRDefault="00D455D5">
          <w:pPr>
            <w:pStyle w:val="Header"/>
            <w:rPr>
              <w:sz w:val="16"/>
              <w:szCs w:val="16"/>
            </w:rPr>
          </w:pPr>
          <w:r>
            <w:rPr>
              <w:sz w:val="16"/>
              <w:szCs w:val="16"/>
            </w:rPr>
            <w:t>Active Date</w:t>
          </w:r>
        </w:p>
      </w:tc>
      <w:tc>
        <w:tcPr>
          <w:tcW w:w="1800" w:type="dxa"/>
          <w:shd w:val="clear" w:color="auto" w:fill="auto"/>
        </w:tcPr>
        <w:p w:rsidR="00D455D5" w:rsidRPr="00EF0500" w:rsidRDefault="004535FA">
          <w:pPr>
            <w:pStyle w:val="Header"/>
            <w:rPr>
              <w:sz w:val="16"/>
              <w:szCs w:val="16"/>
            </w:rPr>
          </w:pPr>
          <w:r>
            <w:rPr>
              <w:sz w:val="16"/>
              <w:szCs w:val="16"/>
            </w:rPr>
            <w:t>20.02.26</w:t>
          </w:r>
        </w:p>
      </w:tc>
      <w:tc>
        <w:tcPr>
          <w:tcW w:w="1143" w:type="dxa"/>
          <w:shd w:val="clear" w:color="auto" w:fill="auto"/>
        </w:tcPr>
        <w:p w:rsidR="00D455D5" w:rsidRPr="00EF0500" w:rsidRDefault="00D455D5">
          <w:pPr>
            <w:pStyle w:val="Header"/>
            <w:rPr>
              <w:sz w:val="16"/>
              <w:szCs w:val="16"/>
            </w:rPr>
          </w:pPr>
          <w:r>
            <w:rPr>
              <w:sz w:val="16"/>
              <w:szCs w:val="16"/>
            </w:rPr>
            <w:t>Revision Date</w:t>
          </w:r>
        </w:p>
      </w:tc>
      <w:tc>
        <w:tcPr>
          <w:tcW w:w="3088" w:type="dxa"/>
          <w:shd w:val="clear" w:color="auto" w:fill="auto"/>
        </w:tcPr>
        <w:p w:rsidR="00D455D5" w:rsidRPr="00EF0500" w:rsidRDefault="00A45529">
          <w:pPr>
            <w:pStyle w:val="Header"/>
            <w:rPr>
              <w:sz w:val="16"/>
              <w:szCs w:val="16"/>
            </w:rPr>
          </w:pPr>
          <w:r>
            <w:rPr>
              <w:sz w:val="16"/>
              <w:szCs w:val="16"/>
            </w:rPr>
            <w:t>See Q-Pulse Record</w:t>
          </w:r>
        </w:p>
      </w:tc>
      <w:tc>
        <w:tcPr>
          <w:tcW w:w="1889" w:type="dxa"/>
          <w:vMerge/>
          <w:shd w:val="clear" w:color="auto" w:fill="auto"/>
        </w:tcPr>
        <w:p w:rsidR="00D455D5" w:rsidRPr="00EF0500" w:rsidRDefault="00D455D5" w:rsidP="00FB151D">
          <w:pPr>
            <w:pStyle w:val="Header"/>
            <w:rPr>
              <w:sz w:val="16"/>
              <w:szCs w:val="16"/>
            </w:rPr>
          </w:pPr>
        </w:p>
      </w:tc>
    </w:tr>
  </w:tbl>
  <w:p w:rsidR="00D455D5" w:rsidRPr="002C3002" w:rsidRDefault="00D455D5">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4012"/>
    <w:multiLevelType w:val="hybridMultilevel"/>
    <w:tmpl w:val="4DB23D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47AA7"/>
    <w:multiLevelType w:val="singleLevel"/>
    <w:tmpl w:val="602E5FCC"/>
    <w:lvl w:ilvl="0">
      <w:start w:val="1"/>
      <w:numFmt w:val="bullet"/>
      <w:pStyle w:val="Bullet"/>
      <w:lvlText w:val=""/>
      <w:legacy w:legacy="1" w:legacySpace="0" w:legacyIndent="283"/>
      <w:lvlJc w:val="left"/>
      <w:pPr>
        <w:ind w:left="283" w:hanging="283"/>
      </w:pPr>
      <w:rPr>
        <w:rFonts w:ascii="Symbol" w:hAnsi="Symbol" w:cs="Times New Roman" w:hint="default"/>
      </w:rPr>
    </w:lvl>
  </w:abstractNum>
  <w:abstractNum w:abstractNumId="2" w15:restartNumberingAfterBreak="0">
    <w:nsid w:val="170A1430"/>
    <w:multiLevelType w:val="hybridMultilevel"/>
    <w:tmpl w:val="3E2EC0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71202"/>
    <w:multiLevelType w:val="hybridMultilevel"/>
    <w:tmpl w:val="130CF7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9E2BEC"/>
    <w:multiLevelType w:val="hybridMultilevel"/>
    <w:tmpl w:val="9384D29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8192F"/>
    <w:multiLevelType w:val="hybridMultilevel"/>
    <w:tmpl w:val="ED3CC6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9B78B6"/>
    <w:multiLevelType w:val="multilevel"/>
    <w:tmpl w:val="4434F6BA"/>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435A6F"/>
    <w:multiLevelType w:val="hybridMultilevel"/>
    <w:tmpl w:val="07C20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701627"/>
    <w:multiLevelType w:val="hybridMultilevel"/>
    <w:tmpl w:val="17E4C53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912D91"/>
    <w:multiLevelType w:val="hybridMultilevel"/>
    <w:tmpl w:val="60B223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A169F9"/>
    <w:multiLevelType w:val="multilevel"/>
    <w:tmpl w:val="7A9ADBEA"/>
    <w:lvl w:ilvl="0">
      <w:start w:val="1"/>
      <w:numFmt w:val="bullet"/>
      <w:lvlText w:val=""/>
      <w:lvlJc w:val="left"/>
      <w:pPr>
        <w:tabs>
          <w:tab w:val="num" w:pos="720"/>
        </w:tabs>
        <w:ind w:left="720" w:hanging="720"/>
      </w:pPr>
      <w:rPr>
        <w:rFonts w:ascii="Wingdings" w:hAnsi="Wingding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1" w15:restartNumberingAfterBreak="0">
    <w:nsid w:val="644A2C1C"/>
    <w:multiLevelType w:val="hybridMultilevel"/>
    <w:tmpl w:val="F58C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217D42"/>
    <w:multiLevelType w:val="hybridMultilevel"/>
    <w:tmpl w:val="28D6E4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D50670"/>
    <w:multiLevelType w:val="multilevel"/>
    <w:tmpl w:val="37E23BE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4" w15:restartNumberingAfterBreak="0">
    <w:nsid w:val="70AA6FD2"/>
    <w:multiLevelType w:val="hybridMultilevel"/>
    <w:tmpl w:val="51A0D2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1F4344"/>
    <w:multiLevelType w:val="multilevel"/>
    <w:tmpl w:val="AED22C62"/>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6" w15:restartNumberingAfterBreak="0">
    <w:nsid w:val="7FDC7504"/>
    <w:multiLevelType w:val="hybridMultilevel"/>
    <w:tmpl w:val="CCD0D1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14"/>
  </w:num>
  <w:num w:numId="4">
    <w:abstractNumId w:val="16"/>
  </w:num>
  <w:num w:numId="5">
    <w:abstractNumId w:val="2"/>
  </w:num>
  <w:num w:numId="6">
    <w:abstractNumId w:val="12"/>
  </w:num>
  <w:num w:numId="7">
    <w:abstractNumId w:val="0"/>
  </w:num>
  <w:num w:numId="8">
    <w:abstractNumId w:val="13"/>
  </w:num>
  <w:num w:numId="9">
    <w:abstractNumId w:val="3"/>
  </w:num>
  <w:num w:numId="10">
    <w:abstractNumId w:val="8"/>
  </w:num>
  <w:num w:numId="11">
    <w:abstractNumId w:val="15"/>
  </w:num>
  <w:num w:numId="12">
    <w:abstractNumId w:val="4"/>
  </w:num>
  <w:num w:numId="13">
    <w:abstractNumId w:val="5"/>
  </w:num>
  <w:num w:numId="14">
    <w:abstractNumId w:val="9"/>
  </w:num>
  <w:num w:numId="15">
    <w:abstractNumId w:val="7"/>
  </w:num>
  <w:num w:numId="16">
    <w:abstractNumId w:val="10"/>
  </w:num>
  <w:num w:numId="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8B"/>
    <w:rsid w:val="00002B8D"/>
    <w:rsid w:val="00002BAF"/>
    <w:rsid w:val="00017924"/>
    <w:rsid w:val="00021CBA"/>
    <w:rsid w:val="00024AA1"/>
    <w:rsid w:val="00025DE9"/>
    <w:rsid w:val="00027735"/>
    <w:rsid w:val="00030949"/>
    <w:rsid w:val="00033095"/>
    <w:rsid w:val="00042088"/>
    <w:rsid w:val="000440D8"/>
    <w:rsid w:val="00054CC8"/>
    <w:rsid w:val="00060912"/>
    <w:rsid w:val="00067B04"/>
    <w:rsid w:val="0007049D"/>
    <w:rsid w:val="0007244E"/>
    <w:rsid w:val="00072D4A"/>
    <w:rsid w:val="00074F3E"/>
    <w:rsid w:val="00076AA3"/>
    <w:rsid w:val="00077CC2"/>
    <w:rsid w:val="00082029"/>
    <w:rsid w:val="000865C9"/>
    <w:rsid w:val="00092FCE"/>
    <w:rsid w:val="00094A6F"/>
    <w:rsid w:val="00097A63"/>
    <w:rsid w:val="000A6413"/>
    <w:rsid w:val="000A7AC8"/>
    <w:rsid w:val="000B22FD"/>
    <w:rsid w:val="000C38BB"/>
    <w:rsid w:val="000C6230"/>
    <w:rsid w:val="000D0CEF"/>
    <w:rsid w:val="000D10F0"/>
    <w:rsid w:val="000D2A75"/>
    <w:rsid w:val="000D4CCB"/>
    <w:rsid w:val="000E5212"/>
    <w:rsid w:val="000F1C15"/>
    <w:rsid w:val="00101EAF"/>
    <w:rsid w:val="00114594"/>
    <w:rsid w:val="00115FF8"/>
    <w:rsid w:val="001165C2"/>
    <w:rsid w:val="0011665D"/>
    <w:rsid w:val="00120E1F"/>
    <w:rsid w:val="001227B9"/>
    <w:rsid w:val="001322CF"/>
    <w:rsid w:val="00142CFD"/>
    <w:rsid w:val="00144CFF"/>
    <w:rsid w:val="0014691B"/>
    <w:rsid w:val="001539E0"/>
    <w:rsid w:val="001544F2"/>
    <w:rsid w:val="00162877"/>
    <w:rsid w:val="0017175A"/>
    <w:rsid w:val="001739A0"/>
    <w:rsid w:val="001858E4"/>
    <w:rsid w:val="001963DA"/>
    <w:rsid w:val="001967F7"/>
    <w:rsid w:val="00196E81"/>
    <w:rsid w:val="00197CCE"/>
    <w:rsid w:val="001A13DF"/>
    <w:rsid w:val="001A3EB2"/>
    <w:rsid w:val="001A4467"/>
    <w:rsid w:val="001A662F"/>
    <w:rsid w:val="001A6DA1"/>
    <w:rsid w:val="001C171E"/>
    <w:rsid w:val="001D03D5"/>
    <w:rsid w:val="00203595"/>
    <w:rsid w:val="00203D07"/>
    <w:rsid w:val="0020456D"/>
    <w:rsid w:val="00205F03"/>
    <w:rsid w:val="00233EC3"/>
    <w:rsid w:val="002355F9"/>
    <w:rsid w:val="00240D8B"/>
    <w:rsid w:val="0025028A"/>
    <w:rsid w:val="002511BA"/>
    <w:rsid w:val="00253C88"/>
    <w:rsid w:val="00254661"/>
    <w:rsid w:val="00265AC0"/>
    <w:rsid w:val="00271782"/>
    <w:rsid w:val="00272500"/>
    <w:rsid w:val="002750A6"/>
    <w:rsid w:val="00283DFF"/>
    <w:rsid w:val="00286D7C"/>
    <w:rsid w:val="00292F4F"/>
    <w:rsid w:val="00297357"/>
    <w:rsid w:val="00297EB0"/>
    <w:rsid w:val="002A3577"/>
    <w:rsid w:val="002A7A02"/>
    <w:rsid w:val="002B2E41"/>
    <w:rsid w:val="002B405B"/>
    <w:rsid w:val="002C3002"/>
    <w:rsid w:val="002C3324"/>
    <w:rsid w:val="002C47E1"/>
    <w:rsid w:val="002C6AE3"/>
    <w:rsid w:val="002D3E56"/>
    <w:rsid w:val="002D710E"/>
    <w:rsid w:val="002E48D0"/>
    <w:rsid w:val="002F12A7"/>
    <w:rsid w:val="002F5790"/>
    <w:rsid w:val="002F7658"/>
    <w:rsid w:val="00305F6F"/>
    <w:rsid w:val="003076E1"/>
    <w:rsid w:val="00311F72"/>
    <w:rsid w:val="00312383"/>
    <w:rsid w:val="00316078"/>
    <w:rsid w:val="003228A8"/>
    <w:rsid w:val="00322BBA"/>
    <w:rsid w:val="00335242"/>
    <w:rsid w:val="00342F08"/>
    <w:rsid w:val="0034495E"/>
    <w:rsid w:val="00347C1E"/>
    <w:rsid w:val="0035162D"/>
    <w:rsid w:val="00353E3A"/>
    <w:rsid w:val="00367048"/>
    <w:rsid w:val="00370951"/>
    <w:rsid w:val="00376F63"/>
    <w:rsid w:val="00391515"/>
    <w:rsid w:val="003925F2"/>
    <w:rsid w:val="003932FA"/>
    <w:rsid w:val="003947D5"/>
    <w:rsid w:val="00395B3F"/>
    <w:rsid w:val="00396635"/>
    <w:rsid w:val="003A61DF"/>
    <w:rsid w:val="003C2675"/>
    <w:rsid w:val="003D52E1"/>
    <w:rsid w:val="003D5F61"/>
    <w:rsid w:val="003E157F"/>
    <w:rsid w:val="003E4766"/>
    <w:rsid w:val="003F1F80"/>
    <w:rsid w:val="00404C5C"/>
    <w:rsid w:val="00407B03"/>
    <w:rsid w:val="00411FEB"/>
    <w:rsid w:val="0042277A"/>
    <w:rsid w:val="00435A7A"/>
    <w:rsid w:val="00444426"/>
    <w:rsid w:val="00446A97"/>
    <w:rsid w:val="00451A95"/>
    <w:rsid w:val="00452823"/>
    <w:rsid w:val="00452D5C"/>
    <w:rsid w:val="004535FA"/>
    <w:rsid w:val="00456E34"/>
    <w:rsid w:val="0045714B"/>
    <w:rsid w:val="0046298A"/>
    <w:rsid w:val="0046535F"/>
    <w:rsid w:val="00470311"/>
    <w:rsid w:val="0047201C"/>
    <w:rsid w:val="004747A3"/>
    <w:rsid w:val="00475B09"/>
    <w:rsid w:val="00476711"/>
    <w:rsid w:val="00480471"/>
    <w:rsid w:val="00485AAD"/>
    <w:rsid w:val="004949C8"/>
    <w:rsid w:val="00497741"/>
    <w:rsid w:val="00497B36"/>
    <w:rsid w:val="004A175A"/>
    <w:rsid w:val="004A1E1B"/>
    <w:rsid w:val="004A271B"/>
    <w:rsid w:val="004A3717"/>
    <w:rsid w:val="004A6977"/>
    <w:rsid w:val="004B1C14"/>
    <w:rsid w:val="004F18A2"/>
    <w:rsid w:val="004F1C0A"/>
    <w:rsid w:val="004F3D45"/>
    <w:rsid w:val="005046B2"/>
    <w:rsid w:val="00515400"/>
    <w:rsid w:val="00515E03"/>
    <w:rsid w:val="00515FDD"/>
    <w:rsid w:val="00522820"/>
    <w:rsid w:val="00531D77"/>
    <w:rsid w:val="0054036B"/>
    <w:rsid w:val="0055412D"/>
    <w:rsid w:val="005545A7"/>
    <w:rsid w:val="00554FA5"/>
    <w:rsid w:val="00556175"/>
    <w:rsid w:val="00556B33"/>
    <w:rsid w:val="00556C00"/>
    <w:rsid w:val="00562C29"/>
    <w:rsid w:val="005649F9"/>
    <w:rsid w:val="00566731"/>
    <w:rsid w:val="00567033"/>
    <w:rsid w:val="00572E61"/>
    <w:rsid w:val="00576C02"/>
    <w:rsid w:val="0058299D"/>
    <w:rsid w:val="00585C1F"/>
    <w:rsid w:val="00591718"/>
    <w:rsid w:val="00591C76"/>
    <w:rsid w:val="00594BA5"/>
    <w:rsid w:val="00596C4C"/>
    <w:rsid w:val="0059721E"/>
    <w:rsid w:val="005A2EAD"/>
    <w:rsid w:val="005A3587"/>
    <w:rsid w:val="005C1641"/>
    <w:rsid w:val="005D14DA"/>
    <w:rsid w:val="005E5ED0"/>
    <w:rsid w:val="005E61BC"/>
    <w:rsid w:val="005F7BAF"/>
    <w:rsid w:val="00613652"/>
    <w:rsid w:val="0061507D"/>
    <w:rsid w:val="0061587D"/>
    <w:rsid w:val="0061669E"/>
    <w:rsid w:val="00617B8F"/>
    <w:rsid w:val="00621B5E"/>
    <w:rsid w:val="00622F6B"/>
    <w:rsid w:val="00632D25"/>
    <w:rsid w:val="00632EDB"/>
    <w:rsid w:val="00636D6C"/>
    <w:rsid w:val="006422A9"/>
    <w:rsid w:val="00681A48"/>
    <w:rsid w:val="00684604"/>
    <w:rsid w:val="006A082B"/>
    <w:rsid w:val="006B0EAA"/>
    <w:rsid w:val="006B2E65"/>
    <w:rsid w:val="006B7A31"/>
    <w:rsid w:val="006B7E5D"/>
    <w:rsid w:val="006C27A2"/>
    <w:rsid w:val="006C66E9"/>
    <w:rsid w:val="006D09AF"/>
    <w:rsid w:val="006E31C6"/>
    <w:rsid w:val="006E4B01"/>
    <w:rsid w:val="006E7CA3"/>
    <w:rsid w:val="006F00F8"/>
    <w:rsid w:val="006F1096"/>
    <w:rsid w:val="006F3C13"/>
    <w:rsid w:val="006F72C2"/>
    <w:rsid w:val="00700E76"/>
    <w:rsid w:val="00704164"/>
    <w:rsid w:val="00711A67"/>
    <w:rsid w:val="007125C8"/>
    <w:rsid w:val="00714519"/>
    <w:rsid w:val="0071763B"/>
    <w:rsid w:val="007325F1"/>
    <w:rsid w:val="00737166"/>
    <w:rsid w:val="0074676C"/>
    <w:rsid w:val="0075667E"/>
    <w:rsid w:val="00767C2E"/>
    <w:rsid w:val="00770839"/>
    <w:rsid w:val="00773D72"/>
    <w:rsid w:val="007740B7"/>
    <w:rsid w:val="00774F5A"/>
    <w:rsid w:val="00776987"/>
    <w:rsid w:val="00780505"/>
    <w:rsid w:val="00782413"/>
    <w:rsid w:val="00782542"/>
    <w:rsid w:val="00783ADD"/>
    <w:rsid w:val="00795CBA"/>
    <w:rsid w:val="007A3797"/>
    <w:rsid w:val="007B6A47"/>
    <w:rsid w:val="007D1F64"/>
    <w:rsid w:val="007E68D4"/>
    <w:rsid w:val="007F412D"/>
    <w:rsid w:val="007F491E"/>
    <w:rsid w:val="007F4D3B"/>
    <w:rsid w:val="008046BE"/>
    <w:rsid w:val="008047E8"/>
    <w:rsid w:val="00804CD7"/>
    <w:rsid w:val="008076F1"/>
    <w:rsid w:val="008106AE"/>
    <w:rsid w:val="008112AA"/>
    <w:rsid w:val="00812154"/>
    <w:rsid w:val="00812C2B"/>
    <w:rsid w:val="0081566F"/>
    <w:rsid w:val="00815DBA"/>
    <w:rsid w:val="00821308"/>
    <w:rsid w:val="008279B2"/>
    <w:rsid w:val="0083572D"/>
    <w:rsid w:val="00840B64"/>
    <w:rsid w:val="00841AA0"/>
    <w:rsid w:val="00851CE5"/>
    <w:rsid w:val="008530A4"/>
    <w:rsid w:val="008639D4"/>
    <w:rsid w:val="00882F82"/>
    <w:rsid w:val="00895619"/>
    <w:rsid w:val="008A6E62"/>
    <w:rsid w:val="008B5A5C"/>
    <w:rsid w:val="008C20EB"/>
    <w:rsid w:val="008C79D2"/>
    <w:rsid w:val="008D0F05"/>
    <w:rsid w:val="008D3C17"/>
    <w:rsid w:val="008D574C"/>
    <w:rsid w:val="008D69D1"/>
    <w:rsid w:val="008E7612"/>
    <w:rsid w:val="00904BCD"/>
    <w:rsid w:val="00914283"/>
    <w:rsid w:val="00924F20"/>
    <w:rsid w:val="00924FDE"/>
    <w:rsid w:val="009257C4"/>
    <w:rsid w:val="009316A1"/>
    <w:rsid w:val="009347D5"/>
    <w:rsid w:val="009449AF"/>
    <w:rsid w:val="009456F2"/>
    <w:rsid w:val="0095040C"/>
    <w:rsid w:val="009520CE"/>
    <w:rsid w:val="009740E2"/>
    <w:rsid w:val="009815D8"/>
    <w:rsid w:val="009823E8"/>
    <w:rsid w:val="009858ED"/>
    <w:rsid w:val="00990E46"/>
    <w:rsid w:val="00992CCB"/>
    <w:rsid w:val="009B228F"/>
    <w:rsid w:val="009B270B"/>
    <w:rsid w:val="009B6762"/>
    <w:rsid w:val="009C2C23"/>
    <w:rsid w:val="009D1F24"/>
    <w:rsid w:val="009D2FC5"/>
    <w:rsid w:val="009D32B5"/>
    <w:rsid w:val="009D6714"/>
    <w:rsid w:val="009E3268"/>
    <w:rsid w:val="009E4894"/>
    <w:rsid w:val="00A11C3F"/>
    <w:rsid w:val="00A11E6E"/>
    <w:rsid w:val="00A12430"/>
    <w:rsid w:val="00A142FF"/>
    <w:rsid w:val="00A231DF"/>
    <w:rsid w:val="00A35FCB"/>
    <w:rsid w:val="00A45529"/>
    <w:rsid w:val="00A55DBD"/>
    <w:rsid w:val="00A5792A"/>
    <w:rsid w:val="00A60283"/>
    <w:rsid w:val="00A60374"/>
    <w:rsid w:val="00A76D64"/>
    <w:rsid w:val="00A7721F"/>
    <w:rsid w:val="00A779FB"/>
    <w:rsid w:val="00A873E0"/>
    <w:rsid w:val="00A946CD"/>
    <w:rsid w:val="00AA3361"/>
    <w:rsid w:val="00AB061E"/>
    <w:rsid w:val="00AC0954"/>
    <w:rsid w:val="00AC1F75"/>
    <w:rsid w:val="00AD3340"/>
    <w:rsid w:val="00AD7FE4"/>
    <w:rsid w:val="00AE177C"/>
    <w:rsid w:val="00AE29A4"/>
    <w:rsid w:val="00AE30C2"/>
    <w:rsid w:val="00B0049D"/>
    <w:rsid w:val="00B00866"/>
    <w:rsid w:val="00B023A9"/>
    <w:rsid w:val="00B05951"/>
    <w:rsid w:val="00B21301"/>
    <w:rsid w:val="00B24D36"/>
    <w:rsid w:val="00B37EE5"/>
    <w:rsid w:val="00B45856"/>
    <w:rsid w:val="00B552E7"/>
    <w:rsid w:val="00B57AA3"/>
    <w:rsid w:val="00B64C81"/>
    <w:rsid w:val="00B67CCC"/>
    <w:rsid w:val="00B72A2D"/>
    <w:rsid w:val="00B7509D"/>
    <w:rsid w:val="00B83401"/>
    <w:rsid w:val="00B87E73"/>
    <w:rsid w:val="00B904B4"/>
    <w:rsid w:val="00B9494B"/>
    <w:rsid w:val="00B97B65"/>
    <w:rsid w:val="00BA0E30"/>
    <w:rsid w:val="00BA2CCE"/>
    <w:rsid w:val="00BB197F"/>
    <w:rsid w:val="00BB420C"/>
    <w:rsid w:val="00BC5276"/>
    <w:rsid w:val="00BD7217"/>
    <w:rsid w:val="00BE19FC"/>
    <w:rsid w:val="00BE3C09"/>
    <w:rsid w:val="00BE4673"/>
    <w:rsid w:val="00BE4C30"/>
    <w:rsid w:val="00BF27B9"/>
    <w:rsid w:val="00C10D42"/>
    <w:rsid w:val="00C11917"/>
    <w:rsid w:val="00C12C91"/>
    <w:rsid w:val="00C13963"/>
    <w:rsid w:val="00C242ED"/>
    <w:rsid w:val="00C3056F"/>
    <w:rsid w:val="00C32BB0"/>
    <w:rsid w:val="00C362C8"/>
    <w:rsid w:val="00C37B39"/>
    <w:rsid w:val="00C471B8"/>
    <w:rsid w:val="00C52A9B"/>
    <w:rsid w:val="00C615B9"/>
    <w:rsid w:val="00C65409"/>
    <w:rsid w:val="00C738AC"/>
    <w:rsid w:val="00C83DB4"/>
    <w:rsid w:val="00C93F2A"/>
    <w:rsid w:val="00C9503E"/>
    <w:rsid w:val="00C968B5"/>
    <w:rsid w:val="00CB1E77"/>
    <w:rsid w:val="00CB43A0"/>
    <w:rsid w:val="00CB7CD7"/>
    <w:rsid w:val="00CC1545"/>
    <w:rsid w:val="00CC2B1B"/>
    <w:rsid w:val="00CD1926"/>
    <w:rsid w:val="00CD1D75"/>
    <w:rsid w:val="00CD34F4"/>
    <w:rsid w:val="00CE0AC6"/>
    <w:rsid w:val="00CE61A1"/>
    <w:rsid w:val="00CE79C6"/>
    <w:rsid w:val="00CF0FC9"/>
    <w:rsid w:val="00CF4803"/>
    <w:rsid w:val="00CF6DAB"/>
    <w:rsid w:val="00CF7E69"/>
    <w:rsid w:val="00D04342"/>
    <w:rsid w:val="00D14C40"/>
    <w:rsid w:val="00D24A17"/>
    <w:rsid w:val="00D25EC2"/>
    <w:rsid w:val="00D26DB5"/>
    <w:rsid w:val="00D32D9A"/>
    <w:rsid w:val="00D37188"/>
    <w:rsid w:val="00D455D5"/>
    <w:rsid w:val="00D54D3A"/>
    <w:rsid w:val="00D67A57"/>
    <w:rsid w:val="00D72F28"/>
    <w:rsid w:val="00D77BB4"/>
    <w:rsid w:val="00D8284E"/>
    <w:rsid w:val="00D82BC4"/>
    <w:rsid w:val="00D907EF"/>
    <w:rsid w:val="00D917B9"/>
    <w:rsid w:val="00D9223C"/>
    <w:rsid w:val="00DA1AD9"/>
    <w:rsid w:val="00DA1DE9"/>
    <w:rsid w:val="00DB747C"/>
    <w:rsid w:val="00DC14DE"/>
    <w:rsid w:val="00DE01AA"/>
    <w:rsid w:val="00DE137F"/>
    <w:rsid w:val="00DE1942"/>
    <w:rsid w:val="00DE4D55"/>
    <w:rsid w:val="00DF7B05"/>
    <w:rsid w:val="00E05C2C"/>
    <w:rsid w:val="00E15817"/>
    <w:rsid w:val="00E17367"/>
    <w:rsid w:val="00E22BBE"/>
    <w:rsid w:val="00E31714"/>
    <w:rsid w:val="00E41644"/>
    <w:rsid w:val="00E421E3"/>
    <w:rsid w:val="00E433E9"/>
    <w:rsid w:val="00E46EFE"/>
    <w:rsid w:val="00E5381A"/>
    <w:rsid w:val="00E54624"/>
    <w:rsid w:val="00E57E8C"/>
    <w:rsid w:val="00E640B7"/>
    <w:rsid w:val="00E70024"/>
    <w:rsid w:val="00E7636B"/>
    <w:rsid w:val="00E80D56"/>
    <w:rsid w:val="00E81BE9"/>
    <w:rsid w:val="00E86BB4"/>
    <w:rsid w:val="00E92F5E"/>
    <w:rsid w:val="00E9433A"/>
    <w:rsid w:val="00E971B8"/>
    <w:rsid w:val="00EA7647"/>
    <w:rsid w:val="00EB163E"/>
    <w:rsid w:val="00EB2536"/>
    <w:rsid w:val="00EB2FC8"/>
    <w:rsid w:val="00EB35F7"/>
    <w:rsid w:val="00EB42EF"/>
    <w:rsid w:val="00EB50FF"/>
    <w:rsid w:val="00EC6791"/>
    <w:rsid w:val="00ED1E16"/>
    <w:rsid w:val="00ED34E7"/>
    <w:rsid w:val="00ED4A1E"/>
    <w:rsid w:val="00EE11AE"/>
    <w:rsid w:val="00EF0500"/>
    <w:rsid w:val="00EF1EA2"/>
    <w:rsid w:val="00F002C1"/>
    <w:rsid w:val="00F005B6"/>
    <w:rsid w:val="00F0093D"/>
    <w:rsid w:val="00F014EF"/>
    <w:rsid w:val="00F02A59"/>
    <w:rsid w:val="00F07278"/>
    <w:rsid w:val="00F078EB"/>
    <w:rsid w:val="00F10C03"/>
    <w:rsid w:val="00F1290C"/>
    <w:rsid w:val="00F178A8"/>
    <w:rsid w:val="00F21ADC"/>
    <w:rsid w:val="00F24E0E"/>
    <w:rsid w:val="00F26F7B"/>
    <w:rsid w:val="00F32648"/>
    <w:rsid w:val="00F35A78"/>
    <w:rsid w:val="00F35DCA"/>
    <w:rsid w:val="00F61B7E"/>
    <w:rsid w:val="00F65192"/>
    <w:rsid w:val="00F72237"/>
    <w:rsid w:val="00F7225C"/>
    <w:rsid w:val="00F723B9"/>
    <w:rsid w:val="00F72BE0"/>
    <w:rsid w:val="00F752A3"/>
    <w:rsid w:val="00F7544D"/>
    <w:rsid w:val="00F8098E"/>
    <w:rsid w:val="00F862AA"/>
    <w:rsid w:val="00FA38EA"/>
    <w:rsid w:val="00FA5F3E"/>
    <w:rsid w:val="00FA7614"/>
    <w:rsid w:val="00FB151D"/>
    <w:rsid w:val="00FB6EDE"/>
    <w:rsid w:val="00FC143A"/>
    <w:rsid w:val="00FC2353"/>
    <w:rsid w:val="00FC431D"/>
    <w:rsid w:val="00FD4EFC"/>
    <w:rsid w:val="00FE004D"/>
    <w:rsid w:val="00FE1737"/>
    <w:rsid w:val="00FE228B"/>
    <w:rsid w:val="00FE5B63"/>
    <w:rsid w:val="00FF0AC0"/>
    <w:rsid w:val="00FF0FA9"/>
    <w:rsid w:val="00FF3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5:docId w15:val="{190102D3-60A7-4BA0-AD4C-E148E4B5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D42"/>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locked/>
    <w:rsid w:val="00EE11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D0C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272500"/>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F24E0E"/>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qFormat/>
    <w:locked/>
    <w:rsid w:val="00D37188"/>
    <w:pPr>
      <w:spacing w:before="240" w:after="60"/>
      <w:outlineLvl w:val="4"/>
    </w:pPr>
    <w:rPr>
      <w:b/>
      <w:bCs/>
      <w:i/>
      <w:iCs/>
      <w:sz w:val="26"/>
      <w:szCs w:val="26"/>
    </w:rPr>
  </w:style>
  <w:style w:type="paragraph" w:styleId="Heading7">
    <w:name w:val="heading 7"/>
    <w:basedOn w:val="Normal"/>
    <w:next w:val="Normal"/>
    <w:qFormat/>
    <w:locked/>
    <w:rsid w:val="00F24E0E"/>
    <w:pPr>
      <w:spacing w:before="240" w:after="60"/>
      <w:outlineLvl w:val="6"/>
    </w:pPr>
    <w:rPr>
      <w:rFonts w:ascii="Times New Roman" w:hAnsi="Times New Roman" w:cs="Times New Roman"/>
      <w:sz w:val="24"/>
      <w:szCs w:val="24"/>
    </w:rPr>
  </w:style>
  <w:style w:type="paragraph" w:styleId="Heading9">
    <w:name w:val="heading 9"/>
    <w:basedOn w:val="Normal"/>
    <w:next w:val="Normal"/>
    <w:link w:val="Heading9Char"/>
    <w:uiPriority w:val="99"/>
    <w:qFormat/>
    <w:locked/>
    <w:rsid w:val="000D0CE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AF"/>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3776A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3776AF"/>
    <w:rPr>
      <w:rFonts w:ascii="Cambria" w:eastAsia="Times New Roman" w:hAnsi="Cambria" w:cs="Times New Roman"/>
      <w:b/>
      <w:bCs/>
      <w:sz w:val="26"/>
      <w:szCs w:val="26"/>
      <w:lang w:eastAsia="en-US"/>
    </w:rPr>
  </w:style>
  <w:style w:type="character" w:customStyle="1" w:styleId="Heading9Char">
    <w:name w:val="Heading 9 Char"/>
    <w:basedOn w:val="DefaultParagraphFont"/>
    <w:link w:val="Heading9"/>
    <w:uiPriority w:val="9"/>
    <w:semiHidden/>
    <w:rsid w:val="003776AF"/>
    <w:rPr>
      <w:rFonts w:ascii="Cambria" w:eastAsia="Times New Roman" w:hAnsi="Cambria" w:cs="Times New Roman"/>
      <w:lang w:eastAsia="en-US"/>
    </w:rPr>
  </w:style>
  <w:style w:type="paragraph" w:styleId="Header">
    <w:name w:val="header"/>
    <w:basedOn w:val="Normal"/>
    <w:link w:val="HeaderChar"/>
    <w:uiPriority w:val="99"/>
    <w:rsid w:val="00240D8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40D8B"/>
  </w:style>
  <w:style w:type="paragraph" w:styleId="Footer">
    <w:name w:val="footer"/>
    <w:basedOn w:val="Normal"/>
    <w:link w:val="FooterChar"/>
    <w:rsid w:val="00240D8B"/>
    <w:pPr>
      <w:tabs>
        <w:tab w:val="center" w:pos="4513"/>
        <w:tab w:val="right" w:pos="9026"/>
      </w:tabs>
      <w:spacing w:after="0" w:line="240" w:lineRule="auto"/>
    </w:pPr>
  </w:style>
  <w:style w:type="character" w:customStyle="1" w:styleId="FooterChar">
    <w:name w:val="Footer Char"/>
    <w:basedOn w:val="DefaultParagraphFont"/>
    <w:link w:val="Footer"/>
    <w:locked/>
    <w:rsid w:val="00240D8B"/>
  </w:style>
  <w:style w:type="table" w:styleId="TableGrid">
    <w:name w:val="Table Grid"/>
    <w:basedOn w:val="TableNormal"/>
    <w:uiPriority w:val="99"/>
    <w:rsid w:val="00240D8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02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23A9"/>
    <w:rPr>
      <w:rFonts w:ascii="Tahoma" w:hAnsi="Tahoma" w:cs="Tahoma"/>
      <w:sz w:val="16"/>
      <w:szCs w:val="16"/>
    </w:rPr>
  </w:style>
  <w:style w:type="paragraph" w:styleId="ListParagraph">
    <w:name w:val="List Paragraph"/>
    <w:basedOn w:val="Normal"/>
    <w:uiPriority w:val="99"/>
    <w:qFormat/>
    <w:rsid w:val="00B023A9"/>
    <w:pPr>
      <w:ind w:left="720"/>
    </w:pPr>
  </w:style>
  <w:style w:type="paragraph" w:styleId="TOC1">
    <w:name w:val="toc 1"/>
    <w:basedOn w:val="Normal"/>
    <w:next w:val="Normal"/>
    <w:autoRedefine/>
    <w:uiPriority w:val="39"/>
    <w:rsid w:val="009B270B"/>
    <w:pPr>
      <w:spacing w:before="120" w:after="120"/>
    </w:pPr>
    <w:rPr>
      <w:rFonts w:ascii="Times New Roman" w:hAnsi="Times New Roman" w:cs="Times New Roman"/>
      <w:b/>
      <w:bCs/>
      <w:caps/>
      <w:sz w:val="20"/>
      <w:szCs w:val="20"/>
    </w:rPr>
  </w:style>
  <w:style w:type="paragraph" w:styleId="TOC2">
    <w:name w:val="toc 2"/>
    <w:basedOn w:val="Normal"/>
    <w:next w:val="Normal"/>
    <w:autoRedefine/>
    <w:uiPriority w:val="39"/>
    <w:rsid w:val="009B270B"/>
    <w:pPr>
      <w:spacing w:after="0"/>
      <w:ind w:left="220"/>
    </w:pPr>
    <w:rPr>
      <w:rFonts w:ascii="Times New Roman" w:hAnsi="Times New Roman" w:cs="Times New Roman"/>
      <w:smallCaps/>
      <w:sz w:val="20"/>
      <w:szCs w:val="20"/>
    </w:rPr>
  </w:style>
  <w:style w:type="paragraph" w:styleId="TOC3">
    <w:name w:val="toc 3"/>
    <w:basedOn w:val="Normal"/>
    <w:next w:val="Normal"/>
    <w:autoRedefine/>
    <w:uiPriority w:val="99"/>
    <w:semiHidden/>
    <w:rsid w:val="009B270B"/>
    <w:pPr>
      <w:spacing w:after="0"/>
      <w:ind w:left="440"/>
    </w:pPr>
    <w:rPr>
      <w:rFonts w:ascii="Times New Roman" w:hAnsi="Times New Roman" w:cs="Times New Roman"/>
      <w:i/>
      <w:iCs/>
      <w:sz w:val="20"/>
      <w:szCs w:val="20"/>
    </w:rPr>
  </w:style>
  <w:style w:type="paragraph" w:styleId="TOC4">
    <w:name w:val="toc 4"/>
    <w:basedOn w:val="Normal"/>
    <w:next w:val="Normal"/>
    <w:autoRedefine/>
    <w:uiPriority w:val="99"/>
    <w:semiHidden/>
    <w:rsid w:val="009B270B"/>
    <w:pPr>
      <w:spacing w:after="0"/>
      <w:ind w:left="660"/>
    </w:pPr>
    <w:rPr>
      <w:rFonts w:ascii="Times New Roman" w:hAnsi="Times New Roman" w:cs="Times New Roman"/>
      <w:sz w:val="18"/>
      <w:szCs w:val="18"/>
    </w:rPr>
  </w:style>
  <w:style w:type="paragraph" w:styleId="TOC5">
    <w:name w:val="toc 5"/>
    <w:basedOn w:val="Normal"/>
    <w:next w:val="Normal"/>
    <w:autoRedefine/>
    <w:uiPriority w:val="99"/>
    <w:semiHidden/>
    <w:rsid w:val="009B270B"/>
    <w:pPr>
      <w:spacing w:after="0"/>
      <w:ind w:left="880"/>
    </w:pPr>
    <w:rPr>
      <w:rFonts w:ascii="Times New Roman" w:hAnsi="Times New Roman" w:cs="Times New Roman"/>
      <w:sz w:val="18"/>
      <w:szCs w:val="18"/>
    </w:rPr>
  </w:style>
  <w:style w:type="paragraph" w:styleId="TOC6">
    <w:name w:val="toc 6"/>
    <w:basedOn w:val="Normal"/>
    <w:next w:val="Normal"/>
    <w:autoRedefine/>
    <w:uiPriority w:val="99"/>
    <w:semiHidden/>
    <w:rsid w:val="009B270B"/>
    <w:pPr>
      <w:spacing w:after="0"/>
      <w:ind w:left="1100"/>
    </w:pPr>
    <w:rPr>
      <w:rFonts w:ascii="Times New Roman" w:hAnsi="Times New Roman" w:cs="Times New Roman"/>
      <w:sz w:val="18"/>
      <w:szCs w:val="18"/>
    </w:rPr>
  </w:style>
  <w:style w:type="paragraph" w:styleId="TOC7">
    <w:name w:val="toc 7"/>
    <w:basedOn w:val="Normal"/>
    <w:next w:val="Normal"/>
    <w:autoRedefine/>
    <w:uiPriority w:val="99"/>
    <w:semiHidden/>
    <w:rsid w:val="009B270B"/>
    <w:pPr>
      <w:spacing w:after="0"/>
      <w:ind w:left="1320"/>
    </w:pPr>
    <w:rPr>
      <w:rFonts w:ascii="Times New Roman" w:hAnsi="Times New Roman" w:cs="Times New Roman"/>
      <w:sz w:val="18"/>
      <w:szCs w:val="18"/>
    </w:rPr>
  </w:style>
  <w:style w:type="paragraph" w:styleId="TOC8">
    <w:name w:val="toc 8"/>
    <w:basedOn w:val="Normal"/>
    <w:next w:val="Normal"/>
    <w:autoRedefine/>
    <w:uiPriority w:val="99"/>
    <w:semiHidden/>
    <w:rsid w:val="009B270B"/>
    <w:pPr>
      <w:spacing w:after="0"/>
      <w:ind w:left="1540"/>
    </w:pPr>
    <w:rPr>
      <w:rFonts w:ascii="Times New Roman" w:hAnsi="Times New Roman" w:cs="Times New Roman"/>
      <w:sz w:val="18"/>
      <w:szCs w:val="18"/>
    </w:rPr>
  </w:style>
  <w:style w:type="paragraph" w:styleId="TOC9">
    <w:name w:val="toc 9"/>
    <w:basedOn w:val="Normal"/>
    <w:next w:val="Normal"/>
    <w:autoRedefine/>
    <w:uiPriority w:val="99"/>
    <w:semiHidden/>
    <w:rsid w:val="009B270B"/>
    <w:pPr>
      <w:spacing w:after="0"/>
      <w:ind w:left="1760"/>
    </w:pPr>
    <w:rPr>
      <w:rFonts w:ascii="Times New Roman" w:hAnsi="Times New Roman" w:cs="Times New Roman"/>
      <w:sz w:val="18"/>
      <w:szCs w:val="18"/>
    </w:rPr>
  </w:style>
  <w:style w:type="paragraph" w:customStyle="1" w:styleId="CPA">
    <w:name w:val="CPA"/>
    <w:basedOn w:val="Normal"/>
    <w:uiPriority w:val="99"/>
    <w:rsid w:val="00782542"/>
    <w:pPr>
      <w:overflowPunct w:val="0"/>
      <w:autoSpaceDE w:val="0"/>
      <w:autoSpaceDN w:val="0"/>
      <w:adjustRightInd w:val="0"/>
      <w:spacing w:before="120" w:after="120" w:line="240" w:lineRule="auto"/>
      <w:jc w:val="both"/>
      <w:textAlignment w:val="baseline"/>
    </w:pPr>
    <w:rPr>
      <w:rFonts w:ascii="Arial" w:hAnsi="Arial" w:cs="Arial"/>
      <w:b/>
      <w:bCs/>
    </w:rPr>
  </w:style>
  <w:style w:type="paragraph" w:styleId="BodyTextIndent2">
    <w:name w:val="Body Text Indent 2"/>
    <w:basedOn w:val="Normal"/>
    <w:link w:val="BodyTextIndent2Char"/>
    <w:uiPriority w:val="99"/>
    <w:rsid w:val="00AB061E"/>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3776AF"/>
    <w:rPr>
      <w:rFonts w:cs="Calibri"/>
      <w:lang w:eastAsia="en-US"/>
    </w:rPr>
  </w:style>
  <w:style w:type="paragraph" w:styleId="BodyTextIndent3">
    <w:name w:val="Body Text Indent 3"/>
    <w:basedOn w:val="Normal"/>
    <w:link w:val="BodyTextIndent3Char"/>
    <w:uiPriority w:val="99"/>
    <w:rsid w:val="00AB061E"/>
    <w:pPr>
      <w:spacing w:after="120" w:line="240" w:lineRule="auto"/>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3776AF"/>
    <w:rPr>
      <w:rFonts w:cs="Calibri"/>
      <w:sz w:val="16"/>
      <w:szCs w:val="16"/>
      <w:lang w:eastAsia="en-US"/>
    </w:rPr>
  </w:style>
  <w:style w:type="character" w:styleId="Hyperlink">
    <w:name w:val="Hyperlink"/>
    <w:basedOn w:val="DefaultParagraphFont"/>
    <w:uiPriority w:val="99"/>
    <w:rsid w:val="002D3E56"/>
    <w:rPr>
      <w:color w:val="0000FF"/>
      <w:u w:val="single"/>
    </w:rPr>
  </w:style>
  <w:style w:type="paragraph" w:styleId="BodyText">
    <w:name w:val="Body Text"/>
    <w:basedOn w:val="Normal"/>
    <w:rsid w:val="002D3E56"/>
    <w:pPr>
      <w:spacing w:after="120"/>
    </w:pPr>
  </w:style>
  <w:style w:type="paragraph" w:customStyle="1" w:styleId="Default">
    <w:name w:val="Default"/>
    <w:rsid w:val="00F24E0E"/>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basedOn w:val="DefaultParagraphFont"/>
    <w:rsid w:val="00F24E0E"/>
    <w:rPr>
      <w:color w:val="800080"/>
      <w:u w:val="single"/>
    </w:rPr>
  </w:style>
  <w:style w:type="paragraph" w:styleId="BodyText3">
    <w:name w:val="Body Text 3"/>
    <w:basedOn w:val="Normal"/>
    <w:rsid w:val="00F24E0E"/>
    <w:pPr>
      <w:spacing w:after="120"/>
    </w:pPr>
    <w:rPr>
      <w:sz w:val="16"/>
      <w:szCs w:val="16"/>
    </w:rPr>
  </w:style>
  <w:style w:type="paragraph" w:styleId="BodyTextIndent">
    <w:name w:val="Body Text Indent"/>
    <w:basedOn w:val="Normal"/>
    <w:rsid w:val="00D37188"/>
    <w:pPr>
      <w:spacing w:after="120"/>
      <w:ind w:left="283"/>
    </w:pPr>
  </w:style>
  <w:style w:type="paragraph" w:styleId="BodyText2">
    <w:name w:val="Body Text 2"/>
    <w:basedOn w:val="Normal"/>
    <w:rsid w:val="00D37188"/>
    <w:pPr>
      <w:spacing w:after="120" w:line="480" w:lineRule="auto"/>
    </w:pPr>
  </w:style>
  <w:style w:type="paragraph" w:styleId="Title">
    <w:name w:val="Title"/>
    <w:basedOn w:val="Normal"/>
    <w:qFormat/>
    <w:locked/>
    <w:rsid w:val="00D37188"/>
    <w:pPr>
      <w:spacing w:before="240" w:after="60" w:line="240" w:lineRule="auto"/>
      <w:outlineLvl w:val="0"/>
    </w:pPr>
    <w:rPr>
      <w:rFonts w:ascii="Arial" w:eastAsia="Times New Roman" w:hAnsi="Arial" w:cs="Arial"/>
      <w:b/>
      <w:bCs/>
      <w:kern w:val="28"/>
      <w:sz w:val="32"/>
      <w:szCs w:val="32"/>
      <w:lang w:val="en-US"/>
    </w:rPr>
  </w:style>
  <w:style w:type="paragraph" w:customStyle="1" w:styleId="Bullet">
    <w:name w:val="Bullet"/>
    <w:basedOn w:val="Normal"/>
    <w:rsid w:val="00D37188"/>
    <w:pPr>
      <w:numPr>
        <w:numId w:val="1"/>
      </w:numPr>
      <w:spacing w:after="0" w:line="240" w:lineRule="auto"/>
    </w:pPr>
    <w:rPr>
      <w:rFonts w:ascii="Arial" w:eastAsia="Times New Roman" w:hAnsi="Arial" w:cs="Arial"/>
    </w:rPr>
  </w:style>
  <w:style w:type="paragraph" w:customStyle="1" w:styleId="FigHead">
    <w:name w:val="FigHead"/>
    <w:basedOn w:val="Normal"/>
    <w:rsid w:val="00D37188"/>
    <w:pPr>
      <w:tabs>
        <w:tab w:val="left" w:pos="1260"/>
      </w:tabs>
      <w:spacing w:after="120" w:line="240" w:lineRule="auto"/>
      <w:ind w:left="1267" w:hanging="1267"/>
    </w:pPr>
    <w:rPr>
      <w:rFonts w:ascii="Arial" w:eastAsia="Times New Roman" w:hAnsi="Arial" w:cs="Arial"/>
      <w:b/>
      <w:bCs/>
    </w:rPr>
  </w:style>
  <w:style w:type="paragraph" w:styleId="NormalWeb">
    <w:name w:val="Normal (Web)"/>
    <w:basedOn w:val="Normal"/>
    <w:rsid w:val="00567033"/>
    <w:pPr>
      <w:spacing w:before="100" w:beforeAutospacing="1" w:after="100" w:afterAutospacing="1" w:line="240" w:lineRule="auto"/>
    </w:pPr>
    <w:rPr>
      <w:rFonts w:ascii="Helvetica" w:eastAsia="Arial Unicode MS" w:hAnsi="Helvetica" w:cs="Helvetica"/>
      <w:color w:val="000000"/>
      <w:sz w:val="16"/>
      <w:szCs w:val="16"/>
    </w:rPr>
  </w:style>
  <w:style w:type="character" w:styleId="Strong">
    <w:name w:val="Strong"/>
    <w:basedOn w:val="DefaultParagraphFont"/>
    <w:qFormat/>
    <w:locked/>
    <w:rsid w:val="00567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68358">
      <w:bodyDiv w:val="1"/>
      <w:marLeft w:val="0"/>
      <w:marRight w:val="0"/>
      <w:marTop w:val="0"/>
      <w:marBottom w:val="0"/>
      <w:divBdr>
        <w:top w:val="none" w:sz="0" w:space="0" w:color="auto"/>
        <w:left w:val="none" w:sz="0" w:space="0" w:color="auto"/>
        <w:bottom w:val="none" w:sz="0" w:space="0" w:color="auto"/>
        <w:right w:val="none" w:sz="0" w:space="0" w:color="auto"/>
      </w:divBdr>
    </w:div>
    <w:div w:id="912197759">
      <w:bodyDiv w:val="1"/>
      <w:marLeft w:val="0"/>
      <w:marRight w:val="0"/>
      <w:marTop w:val="0"/>
      <w:marBottom w:val="0"/>
      <w:divBdr>
        <w:top w:val="none" w:sz="0" w:space="0" w:color="auto"/>
        <w:left w:val="none" w:sz="0" w:space="0" w:color="auto"/>
        <w:bottom w:val="none" w:sz="0" w:space="0" w:color="auto"/>
        <w:right w:val="none" w:sz="0" w:space="0" w:color="auto"/>
      </w:divBdr>
    </w:div>
    <w:div w:id="1214125229">
      <w:bodyDiv w:val="1"/>
      <w:marLeft w:val="0"/>
      <w:marRight w:val="0"/>
      <w:marTop w:val="0"/>
      <w:marBottom w:val="0"/>
      <w:divBdr>
        <w:top w:val="none" w:sz="0" w:space="0" w:color="auto"/>
        <w:left w:val="none" w:sz="0" w:space="0" w:color="auto"/>
        <w:bottom w:val="none" w:sz="0" w:space="0" w:color="auto"/>
        <w:right w:val="none" w:sz="0" w:space="0" w:color="auto"/>
      </w:divBdr>
    </w:div>
    <w:div w:id="1472670803">
      <w:bodyDiv w:val="1"/>
      <w:marLeft w:val="0"/>
      <w:marRight w:val="0"/>
      <w:marTop w:val="0"/>
      <w:marBottom w:val="0"/>
      <w:divBdr>
        <w:top w:val="none" w:sz="0" w:space="0" w:color="auto"/>
        <w:left w:val="none" w:sz="0" w:space="0" w:color="auto"/>
        <w:bottom w:val="none" w:sz="0" w:space="0" w:color="auto"/>
        <w:right w:val="none" w:sz="0" w:space="0" w:color="auto"/>
      </w:divBdr>
    </w:div>
    <w:div w:id="158218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gov.scot/nhs-complai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sggc.scot/contact-us/compla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DC647-FFEF-4509-8244-C436F1B5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10469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FULL BLOOD COUNT (FBC) ANALYSIS USING SYSMEX SE-1234 ANALYSER</vt:lpstr>
    </vt:vector>
  </TitlesOfParts>
  <Company>Microsoft</Company>
  <LinksUpToDate>false</LinksUpToDate>
  <CharactersWithSpaces>12095</CharactersWithSpaces>
  <SharedDoc>false</SharedDoc>
  <HLinks>
    <vt:vector size="96" baseType="variant">
      <vt:variant>
        <vt:i4>1245235</vt:i4>
      </vt:variant>
      <vt:variant>
        <vt:i4>92</vt:i4>
      </vt:variant>
      <vt:variant>
        <vt:i4>0</vt:i4>
      </vt:variant>
      <vt:variant>
        <vt:i4>5</vt:i4>
      </vt:variant>
      <vt:variant>
        <vt:lpwstr/>
      </vt:variant>
      <vt:variant>
        <vt:lpwstr>_Toc326938578</vt:lpwstr>
      </vt:variant>
      <vt:variant>
        <vt:i4>1245235</vt:i4>
      </vt:variant>
      <vt:variant>
        <vt:i4>86</vt:i4>
      </vt:variant>
      <vt:variant>
        <vt:i4>0</vt:i4>
      </vt:variant>
      <vt:variant>
        <vt:i4>5</vt:i4>
      </vt:variant>
      <vt:variant>
        <vt:lpwstr/>
      </vt:variant>
      <vt:variant>
        <vt:lpwstr>_Toc326938577</vt:lpwstr>
      </vt:variant>
      <vt:variant>
        <vt:i4>1245235</vt:i4>
      </vt:variant>
      <vt:variant>
        <vt:i4>80</vt:i4>
      </vt:variant>
      <vt:variant>
        <vt:i4>0</vt:i4>
      </vt:variant>
      <vt:variant>
        <vt:i4>5</vt:i4>
      </vt:variant>
      <vt:variant>
        <vt:lpwstr/>
      </vt:variant>
      <vt:variant>
        <vt:lpwstr>_Toc326938576</vt:lpwstr>
      </vt:variant>
      <vt:variant>
        <vt:i4>1245235</vt:i4>
      </vt:variant>
      <vt:variant>
        <vt:i4>74</vt:i4>
      </vt:variant>
      <vt:variant>
        <vt:i4>0</vt:i4>
      </vt:variant>
      <vt:variant>
        <vt:i4>5</vt:i4>
      </vt:variant>
      <vt:variant>
        <vt:lpwstr/>
      </vt:variant>
      <vt:variant>
        <vt:lpwstr>_Toc326938575</vt:lpwstr>
      </vt:variant>
      <vt:variant>
        <vt:i4>1245235</vt:i4>
      </vt:variant>
      <vt:variant>
        <vt:i4>68</vt:i4>
      </vt:variant>
      <vt:variant>
        <vt:i4>0</vt:i4>
      </vt:variant>
      <vt:variant>
        <vt:i4>5</vt:i4>
      </vt:variant>
      <vt:variant>
        <vt:lpwstr/>
      </vt:variant>
      <vt:variant>
        <vt:lpwstr>_Toc326938574</vt:lpwstr>
      </vt:variant>
      <vt:variant>
        <vt:i4>1245235</vt:i4>
      </vt:variant>
      <vt:variant>
        <vt:i4>62</vt:i4>
      </vt:variant>
      <vt:variant>
        <vt:i4>0</vt:i4>
      </vt:variant>
      <vt:variant>
        <vt:i4>5</vt:i4>
      </vt:variant>
      <vt:variant>
        <vt:lpwstr/>
      </vt:variant>
      <vt:variant>
        <vt:lpwstr>_Toc326938573</vt:lpwstr>
      </vt:variant>
      <vt:variant>
        <vt:i4>1245235</vt:i4>
      </vt:variant>
      <vt:variant>
        <vt:i4>56</vt:i4>
      </vt:variant>
      <vt:variant>
        <vt:i4>0</vt:i4>
      </vt:variant>
      <vt:variant>
        <vt:i4>5</vt:i4>
      </vt:variant>
      <vt:variant>
        <vt:lpwstr/>
      </vt:variant>
      <vt:variant>
        <vt:lpwstr>_Toc326938572</vt:lpwstr>
      </vt:variant>
      <vt:variant>
        <vt:i4>1245235</vt:i4>
      </vt:variant>
      <vt:variant>
        <vt:i4>50</vt:i4>
      </vt:variant>
      <vt:variant>
        <vt:i4>0</vt:i4>
      </vt:variant>
      <vt:variant>
        <vt:i4>5</vt:i4>
      </vt:variant>
      <vt:variant>
        <vt:lpwstr/>
      </vt:variant>
      <vt:variant>
        <vt:lpwstr>_Toc326938571</vt:lpwstr>
      </vt:variant>
      <vt:variant>
        <vt:i4>1245235</vt:i4>
      </vt:variant>
      <vt:variant>
        <vt:i4>44</vt:i4>
      </vt:variant>
      <vt:variant>
        <vt:i4>0</vt:i4>
      </vt:variant>
      <vt:variant>
        <vt:i4>5</vt:i4>
      </vt:variant>
      <vt:variant>
        <vt:lpwstr/>
      </vt:variant>
      <vt:variant>
        <vt:lpwstr>_Toc326938570</vt:lpwstr>
      </vt:variant>
      <vt:variant>
        <vt:i4>1179699</vt:i4>
      </vt:variant>
      <vt:variant>
        <vt:i4>38</vt:i4>
      </vt:variant>
      <vt:variant>
        <vt:i4>0</vt:i4>
      </vt:variant>
      <vt:variant>
        <vt:i4>5</vt:i4>
      </vt:variant>
      <vt:variant>
        <vt:lpwstr/>
      </vt:variant>
      <vt:variant>
        <vt:lpwstr>_Toc326938569</vt:lpwstr>
      </vt:variant>
      <vt:variant>
        <vt:i4>1179699</vt:i4>
      </vt:variant>
      <vt:variant>
        <vt:i4>32</vt:i4>
      </vt:variant>
      <vt:variant>
        <vt:i4>0</vt:i4>
      </vt:variant>
      <vt:variant>
        <vt:i4>5</vt:i4>
      </vt:variant>
      <vt:variant>
        <vt:lpwstr/>
      </vt:variant>
      <vt:variant>
        <vt:lpwstr>_Toc326938568</vt:lpwstr>
      </vt:variant>
      <vt:variant>
        <vt:i4>1179699</vt:i4>
      </vt:variant>
      <vt:variant>
        <vt:i4>26</vt:i4>
      </vt:variant>
      <vt:variant>
        <vt:i4>0</vt:i4>
      </vt:variant>
      <vt:variant>
        <vt:i4>5</vt:i4>
      </vt:variant>
      <vt:variant>
        <vt:lpwstr/>
      </vt:variant>
      <vt:variant>
        <vt:lpwstr>_Toc326938567</vt:lpwstr>
      </vt:variant>
      <vt:variant>
        <vt:i4>1179699</vt:i4>
      </vt:variant>
      <vt:variant>
        <vt:i4>20</vt:i4>
      </vt:variant>
      <vt:variant>
        <vt:i4>0</vt:i4>
      </vt:variant>
      <vt:variant>
        <vt:i4>5</vt:i4>
      </vt:variant>
      <vt:variant>
        <vt:lpwstr/>
      </vt:variant>
      <vt:variant>
        <vt:lpwstr>_Toc326938566</vt:lpwstr>
      </vt:variant>
      <vt:variant>
        <vt:i4>1179699</vt:i4>
      </vt:variant>
      <vt:variant>
        <vt:i4>14</vt:i4>
      </vt:variant>
      <vt:variant>
        <vt:i4>0</vt:i4>
      </vt:variant>
      <vt:variant>
        <vt:i4>5</vt:i4>
      </vt:variant>
      <vt:variant>
        <vt:lpwstr/>
      </vt:variant>
      <vt:variant>
        <vt:lpwstr>_Toc326938565</vt:lpwstr>
      </vt:variant>
      <vt:variant>
        <vt:i4>1179699</vt:i4>
      </vt:variant>
      <vt:variant>
        <vt:i4>8</vt:i4>
      </vt:variant>
      <vt:variant>
        <vt:i4>0</vt:i4>
      </vt:variant>
      <vt:variant>
        <vt:i4>5</vt:i4>
      </vt:variant>
      <vt:variant>
        <vt:lpwstr/>
      </vt:variant>
      <vt:variant>
        <vt:lpwstr>_Toc326938564</vt:lpwstr>
      </vt:variant>
      <vt:variant>
        <vt:i4>1179699</vt:i4>
      </vt:variant>
      <vt:variant>
        <vt:i4>2</vt:i4>
      </vt:variant>
      <vt:variant>
        <vt:i4>0</vt:i4>
      </vt:variant>
      <vt:variant>
        <vt:i4>5</vt:i4>
      </vt:variant>
      <vt:variant>
        <vt:lpwstr/>
      </vt:variant>
      <vt:variant>
        <vt:lpwstr>_Toc326938563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BLOOD COUNT (FBC) ANALYSIS USING SYSMEX SE-1234 ANALYSER</dc:title>
  <dc:creator>Graham</dc:creator>
  <cp:lastModifiedBy>Anderson, Robert</cp:lastModifiedBy>
  <cp:revision>2</cp:revision>
  <cp:lastPrinted>2012-06-08T16:07:00Z</cp:lastPrinted>
  <dcterms:created xsi:type="dcterms:W3CDTF">2026-02-25T12:57:00Z</dcterms:created>
  <dcterms:modified xsi:type="dcterms:W3CDTF">2026-02-25T12:57:00Z</dcterms:modified>
</cp:coreProperties>
</file>